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4F" w:rsidRDefault="00D727E0" w:rsidP="00F2054F">
      <w:pPr>
        <w:jc w:val="center"/>
        <w:rPr>
          <w:sz w:val="52"/>
          <w:szCs w:val="52"/>
        </w:rPr>
      </w:pPr>
      <w:r>
        <w:rPr>
          <w:sz w:val="52"/>
          <w:szCs w:val="52"/>
        </w:rPr>
        <w:t>T</w:t>
      </w:r>
      <w:r w:rsidR="006E6676" w:rsidRPr="0098788A">
        <w:rPr>
          <w:sz w:val="52"/>
          <w:szCs w:val="52"/>
        </w:rPr>
        <w:t>he Community Board of Advice of the Hawkesbury District Health Service (Hawkesbury Hospital)</w:t>
      </w:r>
    </w:p>
    <w:p w:rsidR="00FC2C49" w:rsidRPr="00FC2C49" w:rsidRDefault="00D57026" w:rsidP="00FC2C49">
      <w:pPr>
        <w:spacing w:after="100" w:afterAutospacing="1" w:line="480" w:lineRule="auto"/>
        <w:jc w:val="both"/>
      </w:pPr>
      <w:r w:rsidRPr="004B276E">
        <w:rPr>
          <w:b/>
        </w:rPr>
        <w:t>The Community Board of Advice (CBOA)</w:t>
      </w:r>
      <w:r>
        <w:t xml:space="preserve"> is a volunteer advisory board that provides advice and recommendations to the management of the Hawkesbury District Health Service (HDHS) of the Hawkesbury Hospital. </w:t>
      </w:r>
      <w:r w:rsidR="00C910EB">
        <w:t xml:space="preserve">In January 2013, I </w:t>
      </w:r>
      <w:r w:rsidR="00A0137E">
        <w:t>made</w:t>
      </w:r>
      <w:r w:rsidR="00535256">
        <w:t xml:space="preserve"> my first visit of</w:t>
      </w:r>
      <w:r w:rsidR="00C910EB">
        <w:t xml:space="preserve"> the board room </w:t>
      </w:r>
      <w:r w:rsidR="00145A2C">
        <w:t>of</w:t>
      </w:r>
      <w:r w:rsidR="00C910EB">
        <w:t xml:space="preserve"> the Hawkesbury Hospital for the </w:t>
      </w:r>
      <w:r w:rsidR="00145A2C">
        <w:t xml:space="preserve">monthly </w:t>
      </w:r>
      <w:r w:rsidR="00C910EB">
        <w:t>Community Board of Advice</w:t>
      </w:r>
      <w:r w:rsidR="00145A2C">
        <w:t xml:space="preserve"> (CBOA)</w:t>
      </w:r>
      <w:r w:rsidR="00C910EB">
        <w:t xml:space="preserve"> </w:t>
      </w:r>
      <w:r w:rsidR="00145A2C">
        <w:t>meeting</w:t>
      </w:r>
      <w:r w:rsidR="00C910EB">
        <w:t xml:space="preserve">. </w:t>
      </w:r>
      <w:r w:rsidR="00145A2C">
        <w:t>Months into being on th</w:t>
      </w:r>
      <w:r w:rsidR="00924118">
        <w:t>e committee, I started representing the CBOA at</w:t>
      </w:r>
      <w:r w:rsidR="00145A2C">
        <w:t xml:space="preserve"> the Hawkesbury Community Care Forum where I began to meet and liaison with managers of the community sector. </w:t>
      </w:r>
      <w:r w:rsidR="00C910EB">
        <w:t>Fourteen months</w:t>
      </w:r>
      <w:r w:rsidR="00D86542">
        <w:t xml:space="preserve"> later, I am </w:t>
      </w:r>
      <w:r w:rsidR="00145A2C">
        <w:t>now at T</w:t>
      </w:r>
      <w:r w:rsidR="00D86542">
        <w:t>AFE at</w:t>
      </w:r>
      <w:r w:rsidR="0085214F">
        <w:t xml:space="preserve">tempting to </w:t>
      </w:r>
      <w:r w:rsidR="00D86542">
        <w:t>hopefully work at a management level in the community sector.</w:t>
      </w:r>
      <w:r w:rsidR="00924118">
        <w:t xml:space="preserve"> </w:t>
      </w:r>
    </w:p>
    <w:p w:rsidR="00C910EB" w:rsidRPr="00D86542" w:rsidRDefault="00C910EB" w:rsidP="00C910EB">
      <w:pPr>
        <w:spacing w:after="100" w:afterAutospacing="1" w:line="480" w:lineRule="auto"/>
        <w:jc w:val="both"/>
      </w:pPr>
      <w:r>
        <w:t xml:space="preserve">According to The Australian Council of Social Services (2009), ‘the Australian Government is committed to pursuing a social inclusion agenda that advocates for social, civil and economic participation.’ </w:t>
      </w:r>
      <w:r w:rsidRPr="00D727E0">
        <w:rPr>
          <w:b/>
        </w:rPr>
        <w:t>Social inclusion</w:t>
      </w:r>
      <w:r>
        <w:t xml:space="preserve"> can be defined as the end product that ensures that members of the community remain connected to and are not excluded from the community’ (The Family and Community Development Committee 2014). The United Nations Population Fund (UNPF) explains that: </w:t>
      </w:r>
    </w:p>
    <w:p w:rsidR="00C910EB" w:rsidRDefault="00C910EB" w:rsidP="00FC2C49">
      <w:pPr>
        <w:spacing w:after="100" w:afterAutospacing="1" w:line="480" w:lineRule="auto"/>
        <w:ind w:left="720"/>
        <w:jc w:val="both"/>
      </w:pPr>
      <w:r>
        <w:t xml:space="preserve">“All people have the right to participate in and have access </w:t>
      </w:r>
      <w:r w:rsidR="00B21A94">
        <w:t xml:space="preserve">to </w:t>
      </w:r>
      <w:r>
        <w:t>information relating to the decision-making processes that affect their lives and well-being. Rights-based approaches require a high degree of participation by communities, civil society, minorities, women, young people, indigenous people and other identified groups” (United Nations Population Fund 2013).</w:t>
      </w:r>
      <w:r>
        <w:rPr>
          <w:rFonts w:ascii="Arial" w:eastAsia="Times New Roman" w:hAnsi="Arial" w:cs="Arial"/>
          <w:i/>
          <w:iCs/>
          <w:color w:val="565656"/>
          <w:sz w:val="19"/>
          <w:lang w:eastAsia="en-AU"/>
        </w:rPr>
        <w:t xml:space="preserve"> </w:t>
      </w:r>
    </w:p>
    <w:p w:rsidR="00924118" w:rsidRPr="00924118" w:rsidRDefault="00976DC0" w:rsidP="00B203B1">
      <w:pPr>
        <w:spacing w:after="100" w:afterAutospacing="1" w:line="480" w:lineRule="auto"/>
        <w:jc w:val="both"/>
      </w:pPr>
      <w:r>
        <w:t>This essay is</w:t>
      </w:r>
      <w:r w:rsidR="004B276E">
        <w:t xml:space="preserve"> a critical reflection of the work practices of</w:t>
      </w:r>
      <w:r>
        <w:t xml:space="preserve"> the Community Board of Advice (CBOA). The f</w:t>
      </w:r>
      <w:r w:rsidR="00D86542">
        <w:t xml:space="preserve">irst section will </w:t>
      </w:r>
      <w:r>
        <w:t xml:space="preserve">provide </w:t>
      </w:r>
      <w:r w:rsidR="00E93ACA">
        <w:t xml:space="preserve">a profile of </w:t>
      </w:r>
      <w:r>
        <w:t xml:space="preserve">the main guidelines that direct the activities of advisory boards </w:t>
      </w:r>
      <w:r>
        <w:lastRenderedPageBreak/>
        <w:t xml:space="preserve">in Australia. The second </w:t>
      </w:r>
      <w:r w:rsidR="004B276E">
        <w:t>part will discuss the major functions</w:t>
      </w:r>
      <w:r w:rsidR="008F202E">
        <w:t xml:space="preserve"> of the CBOA </w:t>
      </w:r>
      <w:r w:rsidR="004B276E">
        <w:t>at</w:t>
      </w:r>
      <w:r>
        <w:t xml:space="preserve"> an organisational level. The final section will examine my own attitude</w:t>
      </w:r>
      <w:r w:rsidR="002D5DA7">
        <w:t xml:space="preserve"> and values </w:t>
      </w:r>
      <w:r w:rsidR="00E93ACA">
        <w:t xml:space="preserve">of cultural diversity </w:t>
      </w:r>
      <w:r w:rsidR="002D5DA7">
        <w:t>and how these allow me to work appropriately in cross cultural situations</w:t>
      </w:r>
      <w:r w:rsidR="004B276E">
        <w:t xml:space="preserve"> at </w:t>
      </w:r>
      <w:r w:rsidR="002D5DA7">
        <w:t xml:space="preserve">a </w:t>
      </w:r>
      <w:r>
        <w:t xml:space="preserve">personal level. </w:t>
      </w:r>
      <w:r w:rsidR="001E6163">
        <w:t xml:space="preserve">For the purpose of this assignment, </w:t>
      </w:r>
      <w:r w:rsidR="001E6163" w:rsidRPr="008F202E">
        <w:rPr>
          <w:b/>
        </w:rPr>
        <w:t>cultural competence</w:t>
      </w:r>
      <w:r w:rsidR="001E6163">
        <w:t xml:space="preserve"> will be defined as the application of a sound level of knowledge, awareness, understanding, sensitivity and appreciation of culture that brings a set of behaviours, attitudes and policies together to enable systems, organisations and individuals to work effectively across cultural systems (Voice 2005).</w:t>
      </w:r>
    </w:p>
    <w:p w:rsidR="005C5C78" w:rsidRPr="005C5C78" w:rsidRDefault="005C5C78" w:rsidP="005C5C78">
      <w:pPr>
        <w:spacing w:after="100" w:afterAutospacing="1" w:line="480" w:lineRule="auto"/>
        <w:jc w:val="center"/>
        <w:rPr>
          <w:sz w:val="32"/>
          <w:szCs w:val="32"/>
        </w:rPr>
      </w:pPr>
      <w:r w:rsidRPr="005C5C78">
        <w:rPr>
          <w:sz w:val="32"/>
          <w:szCs w:val="32"/>
        </w:rPr>
        <w:t>Systematic Level</w:t>
      </w:r>
    </w:p>
    <w:p w:rsidR="00F35A97" w:rsidRPr="001E6163" w:rsidRDefault="00B203B1" w:rsidP="00535256">
      <w:pPr>
        <w:spacing w:after="100" w:afterAutospacing="1" w:line="480" w:lineRule="auto"/>
        <w:jc w:val="both"/>
      </w:pPr>
      <w:r w:rsidRPr="001E6163">
        <w:t>At a systematic level</w:t>
      </w:r>
      <w:r w:rsidR="00924118" w:rsidRPr="001E6163">
        <w:t>,</w:t>
      </w:r>
      <w:r w:rsidRPr="001E6163">
        <w:t xml:space="preserve"> t</w:t>
      </w:r>
      <w:r w:rsidR="00D727E0" w:rsidRPr="001E6163">
        <w:t xml:space="preserve">he work of the CBOA </w:t>
      </w:r>
      <w:r w:rsidR="00924118" w:rsidRPr="001E6163">
        <w:t xml:space="preserve">attempts to advocate for a </w:t>
      </w:r>
      <w:r w:rsidR="00165845">
        <w:t xml:space="preserve">culturally competent, </w:t>
      </w:r>
      <w:r w:rsidR="00924118" w:rsidRPr="001E6163">
        <w:t>‘community-wide approach’ to ‘involve’ all people in the planning, implementation and evaluation of the Hawkesbury District Health Service (HDHS).</w:t>
      </w:r>
      <w:r w:rsidR="00B21A94">
        <w:rPr>
          <w:b/>
        </w:rPr>
        <w:t xml:space="preserve"> </w:t>
      </w:r>
      <w:r w:rsidR="00D86542" w:rsidRPr="001E6163">
        <w:t>‘E</w:t>
      </w:r>
      <w:r w:rsidR="00F35A97" w:rsidRPr="001E6163">
        <w:t>ngaging with consum</w:t>
      </w:r>
      <w:r w:rsidR="00D86542" w:rsidRPr="001E6163">
        <w:t>ers allows service improvements</w:t>
      </w:r>
      <w:r w:rsidR="00F35A97" w:rsidRPr="001E6163">
        <w:t xml:space="preserve"> through partnerships to enhance systems, processes, policies and model of care</w:t>
      </w:r>
      <w:r w:rsidR="001E6163">
        <w:t xml:space="preserve"> (</w:t>
      </w:r>
      <w:r w:rsidR="00FC2C49">
        <w:t>Kirby et al. 2003</w:t>
      </w:r>
      <w:r w:rsidR="001E6163">
        <w:t>)</w:t>
      </w:r>
      <w:r w:rsidR="00F35A97" w:rsidRPr="001E6163">
        <w:t xml:space="preserve">.’ </w:t>
      </w:r>
    </w:p>
    <w:p w:rsidR="00F35A97" w:rsidRPr="001E6163" w:rsidRDefault="00F35A97" w:rsidP="00F35A97">
      <w:pPr>
        <w:spacing w:after="100" w:afterAutospacing="1" w:line="480" w:lineRule="auto"/>
        <w:ind w:left="720"/>
        <w:jc w:val="both"/>
      </w:pPr>
      <w:r w:rsidRPr="001E6163">
        <w:t>“Consumers should not only be the focus of the health system, they should be at the cent</w:t>
      </w:r>
      <w:r w:rsidR="00D86542" w:rsidRPr="001E6163">
        <w:t>re of decision-making in health</w:t>
      </w:r>
      <w:r w:rsidRPr="001E6163">
        <w:t xml:space="preserve">. Both at a policy level and an individual level, consumer experiences and preferences should help lead health system reforms, alongside the evidence base.” </w:t>
      </w:r>
      <w:proofErr w:type="gramStart"/>
      <w:r w:rsidRPr="001E6163">
        <w:t>(</w:t>
      </w:r>
      <w:r w:rsidR="00FC2C49">
        <w:t>Kirby et al. 2003).</w:t>
      </w:r>
      <w:proofErr w:type="gramEnd"/>
    </w:p>
    <w:p w:rsidR="00EA58F8" w:rsidRPr="001E6163" w:rsidRDefault="00C122F0" w:rsidP="002A25B2">
      <w:pPr>
        <w:spacing w:after="100" w:afterAutospacing="1" w:line="480" w:lineRule="auto"/>
        <w:jc w:val="both"/>
        <w:rPr>
          <w:i/>
        </w:rPr>
      </w:pPr>
      <w:r w:rsidRPr="001E6163">
        <w:t xml:space="preserve">The </w:t>
      </w:r>
      <w:r w:rsidR="008F202E" w:rsidRPr="001E6163">
        <w:t>most current CBOA</w:t>
      </w:r>
      <w:r w:rsidRPr="001E6163">
        <w:t xml:space="preserve"> recommendations were created to keep in line with New South Wales government’s ten year plan (NSW 2021), particularly focused on</w:t>
      </w:r>
      <w:r w:rsidR="00E93ACA" w:rsidRPr="001E6163">
        <w:t xml:space="preserve"> </w:t>
      </w:r>
      <w:r w:rsidR="008F202E" w:rsidRPr="001E6163">
        <w:t xml:space="preserve">Goal 10 and 11 in </w:t>
      </w:r>
      <w:r w:rsidR="00E93ACA" w:rsidRPr="001E6163">
        <w:t xml:space="preserve">the area that </w:t>
      </w:r>
      <w:r w:rsidR="008F202E" w:rsidRPr="001E6163">
        <w:t>is aiming</w:t>
      </w:r>
      <w:r w:rsidR="00E93ACA" w:rsidRPr="001E6163">
        <w:t xml:space="preserve"> to return</w:t>
      </w:r>
      <w:r w:rsidRPr="001E6163">
        <w:t xml:space="preserve"> quality services</w:t>
      </w:r>
      <w:r w:rsidR="008F202E" w:rsidRPr="001E6163">
        <w:t xml:space="preserve"> to NSW Health</w:t>
      </w:r>
      <w:r w:rsidRPr="001E6163">
        <w:t xml:space="preserve">. Five recommendations were focused towards Goal 10 – </w:t>
      </w:r>
      <w:r w:rsidRPr="001E6163">
        <w:rPr>
          <w:i/>
        </w:rPr>
        <w:t>Keep People Health and Out of Hospital</w:t>
      </w:r>
      <w:r w:rsidR="00E93ACA" w:rsidRPr="001E6163">
        <w:rPr>
          <w:i/>
        </w:rPr>
        <w:t>;</w:t>
      </w:r>
      <w:r w:rsidRPr="001E6163">
        <w:t xml:space="preserve"> and 5 recommendations were created for Goal 12 – </w:t>
      </w:r>
      <w:r w:rsidRPr="001E6163">
        <w:rPr>
          <w:i/>
        </w:rPr>
        <w:t>Provide World Class Clinical Services with Timely Access and Effective Infrastructure</w:t>
      </w:r>
      <w:r w:rsidR="00EA58F8" w:rsidRPr="001E6163">
        <w:rPr>
          <w:i/>
        </w:rPr>
        <w:t xml:space="preserve"> </w:t>
      </w:r>
      <w:r w:rsidR="00EA58F8" w:rsidRPr="001E6163">
        <w:t>(NSW Government 2013)</w:t>
      </w:r>
      <w:r w:rsidRPr="001E6163">
        <w:t>.</w:t>
      </w:r>
      <w:r w:rsidR="005D25C4" w:rsidRPr="001E6163">
        <w:t xml:space="preserve"> </w:t>
      </w:r>
    </w:p>
    <w:p w:rsidR="00A0211B" w:rsidRDefault="00B67989" w:rsidP="00E93ACA">
      <w:pPr>
        <w:spacing w:after="100" w:afterAutospacing="1" w:line="480" w:lineRule="auto"/>
        <w:jc w:val="both"/>
      </w:pPr>
      <w:r w:rsidRPr="001E6163">
        <w:lastRenderedPageBreak/>
        <w:t>T</w:t>
      </w:r>
      <w:r w:rsidR="00A06ADF" w:rsidRPr="001E6163">
        <w:t>he CBOA</w:t>
      </w:r>
      <w:r w:rsidR="00F52953" w:rsidRPr="001E6163">
        <w:t xml:space="preserve"> </w:t>
      </w:r>
      <w:r w:rsidR="00B50CB6" w:rsidRPr="001E6163">
        <w:t xml:space="preserve">also </w:t>
      </w:r>
      <w:r w:rsidR="00F52953" w:rsidRPr="001E6163">
        <w:t>follow</w:t>
      </w:r>
      <w:r w:rsidR="00F2054F" w:rsidRPr="001E6163">
        <w:t>s</w:t>
      </w:r>
      <w:r w:rsidR="00F52953" w:rsidRPr="001E6163">
        <w:t xml:space="preserve"> the Therapeutic Goods Administration (TGA) </w:t>
      </w:r>
      <w:r w:rsidR="00A06ADF" w:rsidRPr="001E6163">
        <w:t>Adviso</w:t>
      </w:r>
      <w:r w:rsidRPr="001E6163">
        <w:t>ry Board Guidelines (</w:t>
      </w:r>
      <w:r w:rsidR="0081589F" w:rsidRPr="001E6163">
        <w:t xml:space="preserve">2010), </w:t>
      </w:r>
      <w:r w:rsidR="00A06ADF" w:rsidRPr="001E6163">
        <w:t>the</w:t>
      </w:r>
      <w:r w:rsidR="00B50CB6" w:rsidRPr="001E6163">
        <w:t xml:space="preserve"> standards that </w:t>
      </w:r>
      <w:r w:rsidR="0081589F" w:rsidRPr="001E6163">
        <w:t>ensure</w:t>
      </w:r>
      <w:r w:rsidR="00C265A7" w:rsidRPr="001E6163">
        <w:t xml:space="preserve"> </w:t>
      </w:r>
      <w:r w:rsidR="00BE5D02" w:rsidRPr="001E6163">
        <w:t xml:space="preserve">that advisory boards adhere to </w:t>
      </w:r>
      <w:r w:rsidR="00C265A7" w:rsidRPr="001E6163">
        <w:t>quality, safety, performance and professionalism</w:t>
      </w:r>
      <w:r w:rsidR="0081589F" w:rsidRPr="001E6163">
        <w:t>.</w:t>
      </w:r>
      <w:r w:rsidR="00A06ADF" w:rsidRPr="001E6163">
        <w:t xml:space="preserve"> </w:t>
      </w:r>
      <w:r w:rsidR="0081589F" w:rsidRPr="001E6163">
        <w:t>The three most important guidelines are m</w:t>
      </w:r>
      <w:r w:rsidR="00F2054F" w:rsidRPr="001E6163">
        <w:t>anaging</w:t>
      </w:r>
      <w:r w:rsidR="00C265A7" w:rsidRPr="001E6163">
        <w:t xml:space="preserve"> ‘</w:t>
      </w:r>
      <w:r w:rsidR="00C265A7" w:rsidRPr="001E6163">
        <w:rPr>
          <w:b/>
        </w:rPr>
        <w:t>Conflict</w:t>
      </w:r>
      <w:r w:rsidR="00F2054F" w:rsidRPr="001E6163">
        <w:rPr>
          <w:b/>
        </w:rPr>
        <w:t>s</w:t>
      </w:r>
      <w:r w:rsidR="00C265A7" w:rsidRPr="001E6163">
        <w:rPr>
          <w:b/>
        </w:rPr>
        <w:t xml:space="preserve"> of Interest’</w:t>
      </w:r>
      <w:r w:rsidR="0081589F" w:rsidRPr="001E6163">
        <w:rPr>
          <w:b/>
        </w:rPr>
        <w:t xml:space="preserve"> </w:t>
      </w:r>
      <w:r w:rsidR="0081589F" w:rsidRPr="001E6163">
        <w:t xml:space="preserve">(i.e. ensuring that </w:t>
      </w:r>
      <w:r w:rsidR="00C265A7" w:rsidRPr="001E6163">
        <w:t>personal material interest</w:t>
      </w:r>
      <w:r w:rsidR="0081589F" w:rsidRPr="001E6163">
        <w:t>s</w:t>
      </w:r>
      <w:r w:rsidR="00F2054F" w:rsidRPr="001E6163">
        <w:t xml:space="preserve"> </w:t>
      </w:r>
      <w:r w:rsidR="0081589F" w:rsidRPr="001E6163">
        <w:t xml:space="preserve">such as shares, grants or financial involvement with products and services </w:t>
      </w:r>
      <w:r w:rsidR="00B50CB6" w:rsidRPr="001E6163">
        <w:t>aren’t</w:t>
      </w:r>
      <w:r w:rsidR="0081589F" w:rsidRPr="001E6163">
        <w:t xml:space="preserve"> brought into</w:t>
      </w:r>
      <w:r w:rsidR="00F2054F" w:rsidRPr="001E6163">
        <w:t xml:space="preserve"> the board’s activities</w:t>
      </w:r>
      <w:r w:rsidR="0081589F" w:rsidRPr="001E6163">
        <w:t xml:space="preserve">), </w:t>
      </w:r>
      <w:r w:rsidR="00504039" w:rsidRPr="001E6163">
        <w:rPr>
          <w:b/>
        </w:rPr>
        <w:t>Obligations of C</w:t>
      </w:r>
      <w:r w:rsidR="0081589F" w:rsidRPr="001E6163">
        <w:rPr>
          <w:b/>
        </w:rPr>
        <w:t>onfidentiality</w:t>
      </w:r>
      <w:r w:rsidR="0081589F" w:rsidRPr="001E6163">
        <w:t xml:space="preserve"> (i</w:t>
      </w:r>
      <w:r w:rsidR="00B50CB6" w:rsidRPr="001E6163">
        <w:t>.e. making sure</w:t>
      </w:r>
      <w:r w:rsidR="0081589F" w:rsidRPr="001E6163">
        <w:t xml:space="preserve"> that unauthorised or confidential information</w:t>
      </w:r>
      <w:r w:rsidR="00B50CB6" w:rsidRPr="001E6163">
        <w:t xml:space="preserve"> isn’t</w:t>
      </w:r>
      <w:r w:rsidR="0081589F" w:rsidRPr="001E6163">
        <w:t xml:space="preserve"> disclosed to anyone outside the committee</w:t>
      </w:r>
      <w:r w:rsidR="00B50CB6" w:rsidRPr="001E6163">
        <w:t>)</w:t>
      </w:r>
      <w:r w:rsidR="0081589F" w:rsidRPr="001E6163">
        <w:t xml:space="preserve"> and </w:t>
      </w:r>
      <w:r w:rsidR="0081589F" w:rsidRPr="001E6163">
        <w:rPr>
          <w:b/>
        </w:rPr>
        <w:t>Freed</w:t>
      </w:r>
      <w:r w:rsidR="00B50CB6" w:rsidRPr="001E6163">
        <w:rPr>
          <w:b/>
        </w:rPr>
        <w:t>om of Information</w:t>
      </w:r>
      <w:r w:rsidR="00B50CB6" w:rsidRPr="001E6163">
        <w:t xml:space="preserve"> (i.e. a guideline that operates under </w:t>
      </w:r>
      <w:r w:rsidR="00B50CB6" w:rsidRPr="001E6163">
        <w:rPr>
          <w:i/>
        </w:rPr>
        <w:t>the Freedom of Information Act (1982)</w:t>
      </w:r>
      <w:r w:rsidR="008F202E" w:rsidRPr="001E6163">
        <w:t xml:space="preserve"> to ensure</w:t>
      </w:r>
      <w:r w:rsidR="00B50CB6" w:rsidRPr="001E6163">
        <w:t xml:space="preserve"> that all</w:t>
      </w:r>
      <w:r w:rsidR="0081589F" w:rsidRPr="001E6163">
        <w:t xml:space="preserve"> people have a right to access documents</w:t>
      </w:r>
      <w:r w:rsidR="00504039" w:rsidRPr="001E6163">
        <w:t xml:space="preserve"> created</w:t>
      </w:r>
      <w:r w:rsidR="00B50CB6" w:rsidRPr="001E6163">
        <w:t xml:space="preserve"> </w:t>
      </w:r>
      <w:r w:rsidR="00504039" w:rsidRPr="001E6163">
        <w:t xml:space="preserve">by </w:t>
      </w:r>
      <w:r w:rsidR="00B50CB6" w:rsidRPr="001E6163">
        <w:t>the TGA). It is important that the board follows these guidelines</w:t>
      </w:r>
      <w:r w:rsidR="004B276E" w:rsidRPr="001E6163">
        <w:t>,</w:t>
      </w:r>
      <w:r w:rsidR="00B50CB6" w:rsidRPr="001E6163">
        <w:t xml:space="preserve"> as obligations of confidentiality for example may make an individual within the board liable for persecution or being sued for any losses arising from a breach of the members’ obligation</w:t>
      </w:r>
      <w:r w:rsidR="005D25C4" w:rsidRPr="001E6163">
        <w:t xml:space="preserve"> (The Therapeutic Goods Administra</w:t>
      </w:r>
      <w:r w:rsidR="005D25C4">
        <w:t>tion 2010)</w:t>
      </w:r>
      <w:r w:rsidR="00B50CB6">
        <w:t>.</w:t>
      </w:r>
    </w:p>
    <w:p w:rsidR="005C5C78" w:rsidRPr="005C5C78" w:rsidRDefault="005C5C78" w:rsidP="005C5C78">
      <w:pPr>
        <w:spacing w:after="100" w:afterAutospacing="1" w:line="480" w:lineRule="auto"/>
        <w:jc w:val="center"/>
        <w:rPr>
          <w:sz w:val="32"/>
          <w:szCs w:val="32"/>
        </w:rPr>
      </w:pPr>
      <w:r w:rsidRPr="005C5C78">
        <w:rPr>
          <w:sz w:val="32"/>
          <w:szCs w:val="32"/>
        </w:rPr>
        <w:t>Organisational Level</w:t>
      </w:r>
    </w:p>
    <w:p w:rsidR="00817CD8" w:rsidRDefault="00D57026" w:rsidP="00817CD8">
      <w:pPr>
        <w:spacing w:after="100" w:afterAutospacing="1" w:line="480" w:lineRule="auto"/>
        <w:jc w:val="both"/>
      </w:pPr>
      <w:r>
        <w:rPr>
          <w:b/>
        </w:rPr>
        <w:t>The Community Board of Advice (CBOA</w:t>
      </w:r>
      <w:r w:rsidRPr="00D57026">
        <w:rPr>
          <w:b/>
        </w:rPr>
        <w:t xml:space="preserve">) </w:t>
      </w:r>
      <w:r w:rsidRPr="00D57026">
        <w:t>is an important part</w:t>
      </w:r>
      <w:r>
        <w:rPr>
          <w:b/>
        </w:rPr>
        <w:t xml:space="preserve"> </w:t>
      </w:r>
      <w:r>
        <w:t xml:space="preserve">in planning, policy development and evaluation of services of </w:t>
      </w:r>
      <w:r>
        <w:rPr>
          <w:b/>
        </w:rPr>
        <w:t>the</w:t>
      </w:r>
      <w:r w:rsidR="00817CD8" w:rsidRPr="004B276E">
        <w:rPr>
          <w:b/>
        </w:rPr>
        <w:t xml:space="preserve"> Hawkesbury District Health Service (HDHS)</w:t>
      </w:r>
      <w:r>
        <w:t xml:space="preserve"> of the Hawkes</w:t>
      </w:r>
      <w:r w:rsidR="0085214F">
        <w:t>bury Hospital,</w:t>
      </w:r>
      <w:r>
        <w:t xml:space="preserve"> </w:t>
      </w:r>
      <w:r w:rsidR="00817CD8">
        <w:t xml:space="preserve">a 127-bed private hospital that provides public health and community health services within the Nepean Blue Mountain Medicare Local area. The Hawkesbury District Health Service is located in Windsor in the Hawkesbury City, a fringe district of Sydney that comprises a population of 64 592 (Profile ID 2014). The hospital has operated as a convict hospital since 1823, but became known as the Hawkesbury District Health Service Ltd. (HDHS) in 1996 under the management of Catholic Health Services. The Community Board of Advice was placed in a contractual arrangement in 1996 as a means of ensuring consumer </w:t>
      </w:r>
      <w:r>
        <w:t>and community participation in Hawkesbury</w:t>
      </w:r>
      <w:r w:rsidR="00147A44">
        <w:t xml:space="preserve"> to determine the needs for specific communities (Harold and </w:t>
      </w:r>
      <w:proofErr w:type="spellStart"/>
      <w:r w:rsidR="00147A44">
        <w:t>Hegarty</w:t>
      </w:r>
      <w:proofErr w:type="spellEnd"/>
      <w:r w:rsidR="00147A44">
        <w:t xml:space="preserve"> 2014; Becoming and Hospitals in Pursuit of Excellence)</w:t>
      </w:r>
      <w:r w:rsidR="00817CD8">
        <w:t>.</w:t>
      </w:r>
      <w:r w:rsidR="00817CD8" w:rsidRPr="00E10092">
        <w:t xml:space="preserve"> </w:t>
      </w:r>
    </w:p>
    <w:p w:rsidR="006C696A" w:rsidRPr="00C122F0" w:rsidRDefault="00F2054F" w:rsidP="002A25B2">
      <w:pPr>
        <w:spacing w:after="100" w:afterAutospacing="1" w:line="480" w:lineRule="auto"/>
        <w:jc w:val="both"/>
      </w:pPr>
      <w:r>
        <w:lastRenderedPageBreak/>
        <w:t>T</w:t>
      </w:r>
      <w:r w:rsidR="0085214F">
        <w:t>he CBOA</w:t>
      </w:r>
      <w:r>
        <w:t xml:space="preserve"> consists of eleven members including the Hawkesbury Hospital general manager, a member of the medical staff council, a</w:t>
      </w:r>
      <w:r w:rsidR="004B276E">
        <w:t xml:space="preserve"> staff member</w:t>
      </w:r>
      <w:r>
        <w:t xml:space="preserve">, an executive board member, a chairman, deputy chairman as well as five community representatives. Meetings are conducted monthly in which members provide feedback from </w:t>
      </w:r>
      <w:r w:rsidR="00BF1F39">
        <w:t>meeti</w:t>
      </w:r>
      <w:r w:rsidR="00504039">
        <w:t>ngs and forums that representatives attend</w:t>
      </w:r>
      <w:r w:rsidR="00B203B1">
        <w:t xml:space="preserve"> (The Hawkesbury District Health Service 2010)</w:t>
      </w:r>
      <w:r w:rsidR="00BF1F39">
        <w:t xml:space="preserve">. </w:t>
      </w:r>
      <w:r w:rsidR="0085214F">
        <w:t>The Constitution of the CBOA</w:t>
      </w:r>
      <w:r w:rsidR="00AA0CE7">
        <w:t xml:space="preserve"> (</w:t>
      </w:r>
      <w:r w:rsidR="00050264">
        <w:t xml:space="preserve">2006) </w:t>
      </w:r>
      <w:r w:rsidR="00AA0CE7">
        <w:t xml:space="preserve">(see Appendix 4) </w:t>
      </w:r>
      <w:r w:rsidR="00050264">
        <w:t>lists</w:t>
      </w:r>
      <w:r w:rsidR="0085214F">
        <w:t xml:space="preserve"> twelve roles that the ad</w:t>
      </w:r>
      <w:r w:rsidR="00050264">
        <w:t>vi</w:t>
      </w:r>
      <w:r w:rsidR="0085214F">
        <w:t>sory board</w:t>
      </w:r>
      <w:r w:rsidR="005C5C78">
        <w:t xml:space="preserve"> is responsible for (see Appendix</w:t>
      </w:r>
      <w:r w:rsidR="004B276E">
        <w:t xml:space="preserve"> 1). T</w:t>
      </w:r>
      <w:r w:rsidR="006C696A">
        <w:t>his essay</w:t>
      </w:r>
      <w:r w:rsidR="004B276E">
        <w:t xml:space="preserve"> however</w:t>
      </w:r>
      <w:r w:rsidR="006C696A">
        <w:t xml:space="preserve"> will explore the two most vital</w:t>
      </w:r>
      <w:r w:rsidR="004B276E">
        <w:t xml:space="preserve"> roles that fulfil all functions</w:t>
      </w:r>
      <w:r w:rsidR="004A453B">
        <w:t xml:space="preserve"> of the CBO</w:t>
      </w:r>
      <w:r w:rsidR="005C5C78">
        <w:t xml:space="preserve">A </w:t>
      </w:r>
      <w:r w:rsidR="008F202E">
        <w:t>constitution</w:t>
      </w:r>
      <w:r w:rsidR="005C5C78">
        <w:t xml:space="preserve"> (The Hawkesbury District Health Service Constitution 2006)</w:t>
      </w:r>
      <w:r w:rsidR="004B276E">
        <w:t>.</w:t>
      </w:r>
      <w:r w:rsidR="005C5C78">
        <w:t xml:space="preserve"> </w:t>
      </w:r>
    </w:p>
    <w:p w:rsidR="001B0AB6" w:rsidRDefault="004A453B" w:rsidP="002A25B2">
      <w:pPr>
        <w:spacing w:after="100" w:afterAutospacing="1" w:line="480" w:lineRule="auto"/>
        <w:jc w:val="both"/>
      </w:pPr>
      <w:r>
        <w:t>T</w:t>
      </w:r>
      <w:r w:rsidR="00CF7DAE">
        <w:t>he</w:t>
      </w:r>
      <w:r w:rsidR="00050264">
        <w:t xml:space="preserve"> CBOA</w:t>
      </w:r>
      <w:r w:rsidR="00CF7DAE">
        <w:t xml:space="preserve"> </w:t>
      </w:r>
      <w:r w:rsidR="00B8009B">
        <w:t xml:space="preserve">plays an important role in </w:t>
      </w:r>
      <w:r w:rsidR="00B8009B" w:rsidRPr="00C122F0">
        <w:rPr>
          <w:b/>
        </w:rPr>
        <w:t>providing</w:t>
      </w:r>
      <w:r w:rsidR="00050264" w:rsidRPr="00C122F0">
        <w:rPr>
          <w:b/>
        </w:rPr>
        <w:t xml:space="preserve"> recommendations</w:t>
      </w:r>
      <w:r w:rsidR="00CF7DAE" w:rsidRPr="00C122F0">
        <w:rPr>
          <w:b/>
        </w:rPr>
        <w:t xml:space="preserve"> </w:t>
      </w:r>
      <w:r w:rsidR="00CF7DAE" w:rsidRPr="008F202E">
        <w:t>to</w:t>
      </w:r>
      <w:r w:rsidR="00B62BC4" w:rsidRPr="008F202E">
        <w:t xml:space="preserve"> the Hawkesbury District Health Service executive boar</w:t>
      </w:r>
      <w:r w:rsidR="00B62BC4">
        <w:t>d</w:t>
      </w:r>
      <w:r w:rsidR="00B8009B">
        <w:t xml:space="preserve"> (Hawkesbury District Health Service 2010)</w:t>
      </w:r>
      <w:r w:rsidR="00964C5A">
        <w:t>.</w:t>
      </w:r>
      <w:r w:rsidR="004F67D0">
        <w:t xml:space="preserve"> </w:t>
      </w:r>
      <w:r w:rsidR="00B8009B">
        <w:t xml:space="preserve">The CBOA Community Forum Organising Committee </w:t>
      </w:r>
      <w:r w:rsidR="0085214F">
        <w:t>provides</w:t>
      </w:r>
      <w:r w:rsidR="004F67D0">
        <w:t xml:space="preserve"> a</w:t>
      </w:r>
      <w:r w:rsidR="00B8009B">
        <w:t xml:space="preserve"> collection</w:t>
      </w:r>
      <w:r w:rsidR="004F67D0">
        <w:t xml:space="preserve"> of</w:t>
      </w:r>
      <w:r>
        <w:t xml:space="preserve"> recommendations</w:t>
      </w:r>
      <w:r w:rsidR="006307AB">
        <w:t xml:space="preserve"> in a comparative analysis of the public forums conducted in 2001, 2011 and 2013 (Harold and </w:t>
      </w:r>
      <w:proofErr w:type="spellStart"/>
      <w:r w:rsidR="006307AB">
        <w:t>Hegarty</w:t>
      </w:r>
      <w:proofErr w:type="spellEnd"/>
      <w:r w:rsidR="006307AB">
        <w:t xml:space="preserve"> 2014). This was developed from</w:t>
      </w:r>
      <w:r w:rsidR="00A05E75">
        <w:t xml:space="preserve"> the ‘Community Consultancy Plan</w:t>
      </w:r>
      <w:r w:rsidR="006307AB">
        <w:t>’</w:t>
      </w:r>
      <w:r w:rsidR="00A05E75">
        <w:t xml:space="preserve"> drafted</w:t>
      </w:r>
      <w:r w:rsidR="006307AB">
        <w:t xml:space="preserve"> in the CBOA Constitution (2006) that </w:t>
      </w:r>
      <w:r w:rsidR="00CF7DAE">
        <w:t>p</w:t>
      </w:r>
      <w:r w:rsidR="006307AB">
        <w:t>rovided</w:t>
      </w:r>
      <w:r w:rsidR="00CF7DAE">
        <w:t xml:space="preserve"> the guidelines </w:t>
      </w:r>
      <w:r w:rsidR="002734E3">
        <w:t>for</w:t>
      </w:r>
      <w:r w:rsidR="00CF7DAE">
        <w:t xml:space="preserve"> conducting community consultations</w:t>
      </w:r>
      <w:r w:rsidR="005C5C78">
        <w:t xml:space="preserve"> (see Appendix 2)</w:t>
      </w:r>
      <w:r w:rsidR="006307AB">
        <w:t>.</w:t>
      </w:r>
      <w:r w:rsidR="00CF7DAE">
        <w:t xml:space="preserve"> </w:t>
      </w:r>
      <w:r w:rsidR="006307AB">
        <w:t>A</w:t>
      </w:r>
      <w:r w:rsidR="00CF7DAE">
        <w:t xml:space="preserve"> questionnaire</w:t>
      </w:r>
      <w:r w:rsidR="006307AB">
        <w:t xml:space="preserve"> was</w:t>
      </w:r>
      <w:r w:rsidR="00A05E75">
        <w:t xml:space="preserve"> created in 201</w:t>
      </w:r>
      <w:r w:rsidR="00B62BC4">
        <w:t>1</w:t>
      </w:r>
      <w:r w:rsidR="006307AB">
        <w:t xml:space="preserve"> and</w:t>
      </w:r>
      <w:r w:rsidR="00CF7DAE">
        <w:t xml:space="preserve"> </w:t>
      </w:r>
      <w:r w:rsidR="00B62BC4">
        <w:t>facilitated</w:t>
      </w:r>
      <w:r>
        <w:t xml:space="preserve"> </w:t>
      </w:r>
      <w:r w:rsidR="006307AB">
        <w:t xml:space="preserve">by CBOA representatives </w:t>
      </w:r>
      <w:r>
        <w:t>at numerous focus groups</w:t>
      </w:r>
      <w:r w:rsidR="006307AB">
        <w:t>,</w:t>
      </w:r>
      <w:r w:rsidR="001C5751">
        <w:t xml:space="preserve"> reaching</w:t>
      </w:r>
      <w:r w:rsidR="00B62BC4">
        <w:t xml:space="preserve"> numerous individuals, organisation</w:t>
      </w:r>
      <w:r w:rsidR="005C5C78">
        <w:t>s</w:t>
      </w:r>
      <w:r w:rsidR="004B276E">
        <w:t xml:space="preserve"> and</w:t>
      </w:r>
      <w:r w:rsidR="00B62BC4">
        <w:t xml:space="preserve"> groups</w:t>
      </w:r>
      <w:r w:rsidR="005C5C78">
        <w:t xml:space="preserve"> in the Hawkesbury</w:t>
      </w:r>
      <w:r w:rsidR="00CF7DAE">
        <w:t>.</w:t>
      </w:r>
      <w:r w:rsidR="006307AB">
        <w:t xml:space="preserve"> T</w:t>
      </w:r>
      <w:r w:rsidR="00A05E75">
        <w:t>he common themes that emer</w:t>
      </w:r>
      <w:r w:rsidR="004B276E">
        <w:t>ged from these</w:t>
      </w:r>
      <w:r w:rsidR="00A05E75">
        <w:t xml:space="preserve"> community forum reports</w:t>
      </w:r>
      <w:r w:rsidR="00B62BC4">
        <w:t xml:space="preserve"> </w:t>
      </w:r>
      <w:r w:rsidR="006307AB">
        <w:t>came in</w:t>
      </w:r>
      <w:r w:rsidR="005C5C78">
        <w:t>to</w:t>
      </w:r>
      <w:r w:rsidR="006307AB">
        <w:t xml:space="preserve"> two major categories - access and communication</w:t>
      </w:r>
      <w:r w:rsidR="00AA0CE7">
        <w:t xml:space="preserve"> (See Appendix 3)</w:t>
      </w:r>
      <w:r w:rsidR="002734E3">
        <w:t>. These themes provided</w:t>
      </w:r>
      <w:r w:rsidR="00CF7DAE">
        <w:t xml:space="preserve"> a summary of the</w:t>
      </w:r>
      <w:r w:rsidR="00B62BC4">
        <w:t xml:space="preserve"> </w:t>
      </w:r>
      <w:r w:rsidR="00A05E75">
        <w:t>issues and gaps in the HDHS services and the</w:t>
      </w:r>
      <w:r w:rsidR="004B276E">
        <w:t xml:space="preserve"> Hawkesbury community</w:t>
      </w:r>
      <w:r w:rsidR="00FC2C49">
        <w:t>.</w:t>
      </w:r>
      <w:r w:rsidR="00964C5A">
        <w:t xml:space="preserve"> </w:t>
      </w:r>
      <w:r w:rsidR="00A0137E">
        <w:t xml:space="preserve">The community forums that the CBOA facilitates provides an opportunity for community members and groups to share their stories, opinions, experiences, complaints and other forms of feedback to form recommendations to the HDHS executive board (Harold and </w:t>
      </w:r>
      <w:proofErr w:type="spellStart"/>
      <w:r w:rsidR="00A0137E">
        <w:t>Hegarty</w:t>
      </w:r>
      <w:proofErr w:type="spellEnd"/>
      <w:r w:rsidR="00A0137E">
        <w:t xml:space="preserve"> 2014; Hawkesbury District Health Service 2010).</w:t>
      </w:r>
    </w:p>
    <w:p w:rsidR="008550C1" w:rsidRDefault="00AA0CE7" w:rsidP="002A25B2">
      <w:pPr>
        <w:spacing w:after="100" w:afterAutospacing="1" w:line="480" w:lineRule="auto"/>
        <w:jc w:val="both"/>
      </w:pPr>
      <w:r>
        <w:t>The other major role of t</w:t>
      </w:r>
      <w:r w:rsidR="006C696A">
        <w:t>he CBOA</w:t>
      </w:r>
      <w:r w:rsidR="004A453B">
        <w:t xml:space="preserve"> </w:t>
      </w:r>
      <w:r>
        <w:t>is to</w:t>
      </w:r>
      <w:r w:rsidR="00C122F0">
        <w:t xml:space="preserve"> </w:t>
      </w:r>
      <w:r w:rsidRPr="008F202E">
        <w:rPr>
          <w:b/>
        </w:rPr>
        <w:t>liaison</w:t>
      </w:r>
      <w:r w:rsidR="006C696A" w:rsidRPr="008F202E">
        <w:rPr>
          <w:b/>
        </w:rPr>
        <w:t xml:space="preserve"> with community </w:t>
      </w:r>
      <w:r w:rsidR="008F202E" w:rsidRPr="008F202E">
        <w:rPr>
          <w:b/>
        </w:rPr>
        <w:t xml:space="preserve">members and </w:t>
      </w:r>
      <w:r w:rsidRPr="008F202E">
        <w:rPr>
          <w:b/>
        </w:rPr>
        <w:t>groups</w:t>
      </w:r>
      <w:r>
        <w:t xml:space="preserve"> (Harold and </w:t>
      </w:r>
      <w:proofErr w:type="spellStart"/>
      <w:r>
        <w:t>Hegarty</w:t>
      </w:r>
      <w:proofErr w:type="spellEnd"/>
      <w:r>
        <w:t xml:space="preserve"> 2014). </w:t>
      </w:r>
      <w:r w:rsidR="00A0137E">
        <w:t xml:space="preserve">There are a number of internal forums that the CBOA communicates with including the Community Consultation (Forums) Working Party that facilitates </w:t>
      </w:r>
      <w:r w:rsidR="00FC2C49">
        <w:t>community consultations</w:t>
      </w:r>
      <w:r w:rsidR="00A0137E">
        <w:t xml:space="preserve">, the </w:t>
      </w:r>
      <w:r w:rsidR="00A0137E">
        <w:lastRenderedPageBreak/>
        <w:t xml:space="preserve">chair attends the HDHS Executive Board meetings and there is a representative on Hawkesbury Hospital Quality Control Committee. The staff member on the board ensures that there is continuous communication with the engineering section of the hospital. </w:t>
      </w:r>
      <w:r>
        <w:t>CBOA</w:t>
      </w:r>
      <w:r w:rsidR="001C5751">
        <w:t xml:space="preserve"> r</w:t>
      </w:r>
      <w:r w:rsidR="006C696A">
        <w:t>epresentatives</w:t>
      </w:r>
      <w:r w:rsidR="00A0137E">
        <w:t xml:space="preserve"> also</w:t>
      </w:r>
      <w:r w:rsidR="001C5751">
        <w:t xml:space="preserve"> </w:t>
      </w:r>
      <w:r w:rsidR="004A453B">
        <w:t>attend</w:t>
      </w:r>
      <w:r w:rsidR="00A0137E">
        <w:t xml:space="preserve"> numerous</w:t>
      </w:r>
      <w:r w:rsidR="006C696A">
        <w:t xml:space="preserve"> comm</w:t>
      </w:r>
      <w:r w:rsidR="004A453B">
        <w:t xml:space="preserve">unity group meetings and </w:t>
      </w:r>
      <w:r w:rsidR="00A0137E">
        <w:t xml:space="preserve">external </w:t>
      </w:r>
      <w:r w:rsidR="004A453B">
        <w:t xml:space="preserve">forums </w:t>
      </w:r>
      <w:r w:rsidR="00A0137E">
        <w:t>such as</w:t>
      </w:r>
      <w:r w:rsidR="006C696A">
        <w:t xml:space="preserve"> </w:t>
      </w:r>
      <w:r w:rsidR="00A0137E">
        <w:t>T</w:t>
      </w:r>
      <w:r w:rsidR="006C696A">
        <w:t>he Nepean Blue Mountains Local Health Network Medicare Local Health Consumer</w:t>
      </w:r>
      <w:r w:rsidR="00A0137E">
        <w:t xml:space="preserve"> Report Committee</w:t>
      </w:r>
      <w:r w:rsidR="006C696A">
        <w:t>, Hawkesbury Community Care Forum and the Hawkesbury Disability</w:t>
      </w:r>
      <w:r w:rsidR="00817CD8">
        <w:t xml:space="preserve"> Forum</w:t>
      </w:r>
      <w:r w:rsidR="006C696A">
        <w:t>.</w:t>
      </w:r>
      <w:r w:rsidR="000E1D14">
        <w:t xml:space="preserve"> Such </w:t>
      </w:r>
      <w:r w:rsidR="000E1D14" w:rsidRPr="005D0648">
        <w:t>networking</w:t>
      </w:r>
      <w:r w:rsidR="005D0648" w:rsidRPr="005D0648">
        <w:t xml:space="preserve"> allows me and other</w:t>
      </w:r>
      <w:r w:rsidR="008F202E" w:rsidRPr="005D0648">
        <w:t xml:space="preserve"> </w:t>
      </w:r>
      <w:r w:rsidR="005D0648">
        <w:t xml:space="preserve">CBOA members </w:t>
      </w:r>
      <w:r w:rsidR="008F202E" w:rsidRPr="005D0648">
        <w:t>to form</w:t>
      </w:r>
      <w:r w:rsidR="001C5751" w:rsidRPr="005D0648">
        <w:t xml:space="preserve"> partnerships with </w:t>
      </w:r>
      <w:r w:rsidR="00A0137E">
        <w:t xml:space="preserve">service </w:t>
      </w:r>
      <w:r w:rsidR="001C5751" w:rsidRPr="005D0648">
        <w:t>m</w:t>
      </w:r>
      <w:r w:rsidR="000E1D14" w:rsidRPr="005D0648">
        <w:t>anagers</w:t>
      </w:r>
      <w:r w:rsidR="00A0137E">
        <w:t xml:space="preserve"> and coordinators</w:t>
      </w:r>
      <w:r w:rsidR="000E1D14" w:rsidRPr="005D0648">
        <w:t xml:space="preserve">, professionals, </w:t>
      </w:r>
      <w:r w:rsidR="001B0AB6" w:rsidRPr="005D0648">
        <w:t>specialists, primary care providers</w:t>
      </w:r>
      <w:r w:rsidR="001B0AB6">
        <w:t xml:space="preserve">, </w:t>
      </w:r>
      <w:r>
        <w:t>other volunte</w:t>
      </w:r>
      <w:r w:rsidR="001B0AB6">
        <w:t xml:space="preserve">ers, </w:t>
      </w:r>
      <w:r w:rsidR="000E1D14">
        <w:t xml:space="preserve">service </w:t>
      </w:r>
      <w:r w:rsidR="001C5751">
        <w:t>providers</w:t>
      </w:r>
      <w:r w:rsidR="004B276E">
        <w:t>,</w:t>
      </w:r>
      <w:r w:rsidR="001C5751">
        <w:t xml:space="preserve"> customers, clients and carers w</w:t>
      </w:r>
      <w:r w:rsidR="000E1D14">
        <w:t>ithin the community</w:t>
      </w:r>
      <w:r w:rsidR="00A0137E">
        <w:t xml:space="preserve"> (Harold and </w:t>
      </w:r>
      <w:proofErr w:type="spellStart"/>
      <w:r w:rsidR="00A0137E">
        <w:t>Hegarty</w:t>
      </w:r>
      <w:proofErr w:type="spellEnd"/>
      <w:r w:rsidR="00A0137E">
        <w:t xml:space="preserve"> 2014; Hawkesbury District Health Service 2010).</w:t>
      </w:r>
      <w:r w:rsidR="00817CD8">
        <w:t xml:space="preserve">. </w:t>
      </w:r>
    </w:p>
    <w:p w:rsidR="00DC7D86" w:rsidRPr="00AA0CE7" w:rsidRDefault="00AA0CE7" w:rsidP="00AA0CE7">
      <w:pPr>
        <w:spacing w:after="100" w:afterAutospacing="1" w:line="480" w:lineRule="auto"/>
        <w:jc w:val="center"/>
        <w:rPr>
          <w:sz w:val="32"/>
          <w:szCs w:val="32"/>
        </w:rPr>
      </w:pPr>
      <w:r w:rsidRPr="00AA0CE7">
        <w:rPr>
          <w:sz w:val="32"/>
          <w:szCs w:val="32"/>
        </w:rPr>
        <w:t>Individual Level</w:t>
      </w:r>
    </w:p>
    <w:p w:rsidR="00FC2C49" w:rsidRDefault="005D0648" w:rsidP="002A25B2">
      <w:pPr>
        <w:spacing w:after="100" w:afterAutospacing="1" w:line="480" w:lineRule="auto"/>
        <w:jc w:val="both"/>
      </w:pPr>
      <w:r>
        <w:t>According to the CBOA Constitution (2006), all members of the CBOA have a responsibility to lead, represent and advocate for the Hawkesbury Community (Hawkesbury District Health Service 2010). As a representative, l</w:t>
      </w:r>
      <w:r w:rsidR="0085214F">
        <w:t>eader and advocate</w:t>
      </w:r>
      <w:r>
        <w:t>, it is imperative that I speak and behave in a culturally appropriate way without stereotyping, acting with prejudice, being discriminative or acting in a derogatory way</w:t>
      </w:r>
      <w:r w:rsidR="00D57026">
        <w:t xml:space="preserve"> (TAFE NSW 2014)</w:t>
      </w:r>
      <w:r>
        <w:t xml:space="preserve">. When facilitating consultations </w:t>
      </w:r>
      <w:r w:rsidR="00492282">
        <w:t xml:space="preserve">to gain recommendations </w:t>
      </w:r>
      <w:r>
        <w:t xml:space="preserve">and liaising with the community, I must be aware of the </w:t>
      </w:r>
      <w:r w:rsidRPr="00147A44">
        <w:t>cultural context, act ethically across cross-cultural situations and have an attitude of political correctness (PC) (Centre of Culture, Ethnicity and Health 2010). As I further my education, I must continue to develop conflict-resolution strategies to overcome conflict and misunderstandings as well as continually expand my cross-cultural communication skills (Centre of Cultu</w:t>
      </w:r>
      <w:r w:rsidR="00492282">
        <w:t xml:space="preserve">re Ethnicity and Health 2010). </w:t>
      </w:r>
      <w:r w:rsidR="001E6163">
        <w:t>A</w:t>
      </w:r>
      <w:r w:rsidR="00924118">
        <w:t xml:space="preserve">s </w:t>
      </w:r>
      <w:r w:rsidR="00492282">
        <w:t xml:space="preserve">a community leader, I must </w:t>
      </w:r>
      <w:r w:rsidR="00FC2C49">
        <w:t>recognise</w:t>
      </w:r>
      <w:r w:rsidR="00147A44">
        <w:t xml:space="preserve"> and understand the cultural dynamics in int</w:t>
      </w:r>
      <w:r w:rsidR="0085214F">
        <w:t>eractions, as well as develop and acquire</w:t>
      </w:r>
      <w:r w:rsidR="00147A44">
        <w:t xml:space="preserve"> the skills needed to identify and assist patients from diverse cultures</w:t>
      </w:r>
      <w:r w:rsidR="007F3FB1">
        <w:t xml:space="preserve"> (TAFE NSW 2014)</w:t>
      </w:r>
      <w:r w:rsidR="00147A44">
        <w:t xml:space="preserve">. </w:t>
      </w:r>
    </w:p>
    <w:p w:rsidR="00751EFF" w:rsidRDefault="005D0648" w:rsidP="002A25B2">
      <w:pPr>
        <w:spacing w:after="100" w:afterAutospacing="1" w:line="480" w:lineRule="auto"/>
        <w:jc w:val="both"/>
      </w:pPr>
      <w:r>
        <w:t>As a leader, the first s</w:t>
      </w:r>
      <w:r w:rsidR="00492282">
        <w:t>tep to</w:t>
      </w:r>
      <w:r>
        <w:t xml:space="preserve"> becoming culturally competent is to understand the local community and the role the organisation pla</w:t>
      </w:r>
      <w:r w:rsidR="00492282">
        <w:t xml:space="preserve">y within the community (Hospitals in Pursuit of Excellence 2013).  </w:t>
      </w:r>
      <w:r w:rsidR="00492282">
        <w:lastRenderedPageBreak/>
        <w:t xml:space="preserve">The </w:t>
      </w:r>
      <w:r w:rsidR="00A43FCB">
        <w:t>demographic data</w:t>
      </w:r>
      <w:r>
        <w:t xml:space="preserve"> </w:t>
      </w:r>
      <w:r w:rsidR="00A43FCB">
        <w:t>demonstrates</w:t>
      </w:r>
      <w:r w:rsidR="00814C08">
        <w:t xml:space="preserve"> that the Hawkesbury</w:t>
      </w:r>
      <w:r w:rsidR="009C1981">
        <w:t xml:space="preserve"> district</w:t>
      </w:r>
      <w:r w:rsidR="00814C08">
        <w:t xml:space="preserve"> is </w:t>
      </w:r>
      <w:r w:rsidR="00976AD6">
        <w:t>largely</w:t>
      </w:r>
      <w:r w:rsidR="00814C08">
        <w:t xml:space="preserve"> a</w:t>
      </w:r>
      <w:r w:rsidR="00D57026">
        <w:t>n</w:t>
      </w:r>
      <w:r w:rsidR="00976AD6">
        <w:t xml:space="preserve"> Anglo-Saxon</w:t>
      </w:r>
      <w:r w:rsidR="00814C08">
        <w:t xml:space="preserve"> community with only 12% of </w:t>
      </w:r>
      <w:r w:rsidR="00A43FCB">
        <w:t xml:space="preserve">people </w:t>
      </w:r>
      <w:r w:rsidR="00976AD6">
        <w:t xml:space="preserve">being </w:t>
      </w:r>
      <w:r w:rsidR="00A43FCB">
        <w:t xml:space="preserve">born overseas, 5.3% people born in mainly non-English speaking countries and only a 1.7% Aboriginal </w:t>
      </w:r>
      <w:r w:rsidR="00976AD6">
        <w:t>descent (The Hawkesbury City Council 2006)</w:t>
      </w:r>
      <w:r w:rsidR="00492282">
        <w:t>. T</w:t>
      </w:r>
      <w:r w:rsidR="00A43FCB">
        <w:t xml:space="preserve">his cultural demographic is </w:t>
      </w:r>
      <w:r w:rsidR="002B130A">
        <w:t xml:space="preserve">however </w:t>
      </w:r>
      <w:r w:rsidR="00A43FCB">
        <w:t xml:space="preserve">changing as </w:t>
      </w:r>
      <w:r w:rsidR="009C1981">
        <w:t xml:space="preserve">a </w:t>
      </w:r>
      <w:r w:rsidR="00A43FCB">
        <w:t xml:space="preserve">new </w:t>
      </w:r>
      <w:r w:rsidR="009C1981">
        <w:t xml:space="preserve">wave of </w:t>
      </w:r>
      <w:r w:rsidR="002B130A">
        <w:t xml:space="preserve">housing estates </w:t>
      </w:r>
      <w:r w:rsidR="007F3FB1">
        <w:t>is</w:t>
      </w:r>
      <w:r w:rsidR="002B130A">
        <w:t xml:space="preserve"> developing</w:t>
      </w:r>
      <w:r w:rsidR="009C1981">
        <w:t xml:space="preserve"> in</w:t>
      </w:r>
      <w:r w:rsidR="000836FF">
        <w:t xml:space="preserve"> the North West </w:t>
      </w:r>
      <w:r w:rsidR="001E6163">
        <w:t xml:space="preserve">Corridor </w:t>
      </w:r>
      <w:r w:rsidR="000836FF">
        <w:t>of Sydney</w:t>
      </w:r>
      <w:r w:rsidR="00976AD6">
        <w:t xml:space="preserve"> (The</w:t>
      </w:r>
      <w:r w:rsidR="00814C08">
        <w:t xml:space="preserve"> Hawkesbury City Council 2006). </w:t>
      </w:r>
      <w:r w:rsidR="00751EFF">
        <w:t>This changing culturally dynamic will bring with them benefits such as exciting new ways of life, as well as the possibility of greater cultural conflicts, misunderstandings and the realisation of fear and a lack of trust within the exi</w:t>
      </w:r>
      <w:r w:rsidR="008550C1">
        <w:t xml:space="preserve">sting community (Voice 2005).  </w:t>
      </w:r>
    </w:p>
    <w:p w:rsidR="0085214F" w:rsidRDefault="001E6163" w:rsidP="002A25B2">
      <w:pPr>
        <w:spacing w:after="100" w:afterAutospacing="1" w:line="480" w:lineRule="auto"/>
        <w:jc w:val="both"/>
      </w:pPr>
      <w:r>
        <w:t>Through the CBOA, the Hawkesbury Hospital must build steps to becoming a culturally competent organisation</w:t>
      </w:r>
      <w:r w:rsidR="00147A44">
        <w:t>. According to Hospitals in Pursuit of Excellence (2013)</w:t>
      </w:r>
      <w:r w:rsidR="00D57026">
        <w:t xml:space="preserve"> model, there are three criteria that leaders must aim towards to understand the local community and the role the organisation plays within the community. It recommends three phases</w:t>
      </w:r>
      <w:r w:rsidR="001D243F">
        <w:t xml:space="preserve"> -</w:t>
      </w:r>
      <w:r w:rsidR="00D57026">
        <w:t xml:space="preserve"> a community survey, community engagement and staff education.</w:t>
      </w:r>
      <w:r w:rsidR="002B130A">
        <w:t xml:space="preserve"> </w:t>
      </w:r>
    </w:p>
    <w:p w:rsidR="001D243F" w:rsidRDefault="002B130A" w:rsidP="002A25B2">
      <w:pPr>
        <w:spacing w:after="100" w:afterAutospacing="1" w:line="480" w:lineRule="auto"/>
        <w:jc w:val="both"/>
      </w:pPr>
      <w:r>
        <w:t>At current, the CBOA</w:t>
      </w:r>
      <w:r w:rsidR="001D243F">
        <w:t xml:space="preserve"> is formalising a plan to conduct a community survey by conducting a situational analysis of the local demographic and the groups that composes the local community. It is in a new stage of conducting community engagement</w:t>
      </w:r>
      <w:r w:rsidR="0085214F">
        <w:t>. A</w:t>
      </w:r>
      <w:r>
        <w:t xml:space="preserve"> full realisation of cultural competence</w:t>
      </w:r>
      <w:r w:rsidR="001D243F">
        <w:t xml:space="preserve"> will only be achieved</w:t>
      </w:r>
      <w:r w:rsidR="0085214F">
        <w:t xml:space="preserve"> however</w:t>
      </w:r>
      <w:r w:rsidR="001D243F">
        <w:t xml:space="preserve"> when the situational analysis is complete so we can explore community and cultural groups in a proactive manner. The final step, staff education has been done at monthly CBOA </w:t>
      </w:r>
      <w:proofErr w:type="gramStart"/>
      <w:r w:rsidR="001D243F">
        <w:t>meetings,</w:t>
      </w:r>
      <w:proofErr w:type="gramEnd"/>
      <w:r w:rsidR="001D243F">
        <w:t xml:space="preserve"> however I think the training must expand into contemporary cultural activities such as social media and the internet. </w:t>
      </w:r>
    </w:p>
    <w:p w:rsidR="00543017" w:rsidRPr="009C1981" w:rsidRDefault="001D243F" w:rsidP="002A25B2">
      <w:pPr>
        <w:spacing w:after="100" w:afterAutospacing="1" w:line="480" w:lineRule="auto"/>
        <w:jc w:val="both"/>
      </w:pPr>
      <w:r>
        <w:t xml:space="preserve">The CBOA must adapt </w:t>
      </w:r>
      <w:r w:rsidR="00751EFF">
        <w:t>recruitment strategies,</w:t>
      </w:r>
      <w:r w:rsidR="00E77E17">
        <w:t xml:space="preserve"> orient</w:t>
      </w:r>
      <w:r w:rsidR="00814C08">
        <w:t xml:space="preserve">ation </w:t>
      </w:r>
      <w:r w:rsidR="00E77E17">
        <w:t xml:space="preserve">education </w:t>
      </w:r>
      <w:r w:rsidR="00814C08">
        <w:t xml:space="preserve">and </w:t>
      </w:r>
      <w:r w:rsidR="000836FF">
        <w:t xml:space="preserve">a </w:t>
      </w:r>
      <w:r w:rsidR="00E77E17">
        <w:t>program for ongoing training</w:t>
      </w:r>
      <w:r w:rsidR="00751EFF">
        <w:t xml:space="preserve"> to better represent the changi</w:t>
      </w:r>
      <w:r w:rsidR="0023283F">
        <w:t>ng dynamics of the Hawkesbury</w:t>
      </w:r>
      <w:r w:rsidR="00751EFF">
        <w:t xml:space="preserve"> community</w:t>
      </w:r>
      <w:r w:rsidR="00FC16DE">
        <w:t>.</w:t>
      </w:r>
      <w:r w:rsidR="0023283F">
        <w:t xml:space="preserve"> Recruitment strategies must be proactive to ensure that</w:t>
      </w:r>
      <w:r w:rsidR="002B130A">
        <w:t xml:space="preserve"> there is an adequate representation</w:t>
      </w:r>
      <w:r w:rsidR="0023283F">
        <w:t xml:space="preserve"> of women, ethnic groups, disadvantaged groups, under-represented age groups (i.e. younger people), </w:t>
      </w:r>
      <w:proofErr w:type="gramStart"/>
      <w:r w:rsidR="0023283F">
        <w:t>people</w:t>
      </w:r>
      <w:proofErr w:type="gramEnd"/>
      <w:r w:rsidR="0023283F">
        <w:t xml:space="preserve"> with </w:t>
      </w:r>
      <w:r w:rsidR="0023283F">
        <w:lastRenderedPageBreak/>
        <w:t>disability, indigenous</w:t>
      </w:r>
      <w:r w:rsidR="002B130A">
        <w:t xml:space="preserve"> Australians</w:t>
      </w:r>
      <w:r w:rsidR="0023283F">
        <w:t>, Torres Strait islanders a</w:t>
      </w:r>
      <w:r w:rsidR="002B130A">
        <w:t>nd people from CALD backgrounds participating</w:t>
      </w:r>
      <w:r w:rsidR="008550C1">
        <w:t xml:space="preserve"> on the board.</w:t>
      </w:r>
      <w:r w:rsidR="00E77E17">
        <w:t xml:space="preserve"> </w:t>
      </w:r>
      <w:r w:rsidR="009C1981">
        <w:t>Education for orientation must involve</w:t>
      </w:r>
      <w:r w:rsidR="00D128DA">
        <w:t xml:space="preserve"> new volunt</w:t>
      </w:r>
      <w:r w:rsidR="000836FF">
        <w:t>eers</w:t>
      </w:r>
      <w:r w:rsidR="00D128DA">
        <w:t xml:space="preserve"> part</w:t>
      </w:r>
      <w:r w:rsidR="000836FF">
        <w:t>icipating</w:t>
      </w:r>
      <w:r w:rsidR="00D128DA">
        <w:t xml:space="preserve"> in workshops and </w:t>
      </w:r>
      <w:r w:rsidR="00751EFF">
        <w:t>develop</w:t>
      </w:r>
      <w:r w:rsidR="0085214F">
        <w:t>ing</w:t>
      </w:r>
      <w:r w:rsidR="00751EFF">
        <w:t xml:space="preserve"> </w:t>
      </w:r>
      <w:r w:rsidR="00D128DA">
        <w:t xml:space="preserve">documents </w:t>
      </w:r>
      <w:r w:rsidR="00751EFF">
        <w:t>that relate</w:t>
      </w:r>
      <w:r w:rsidR="00D128DA">
        <w:t xml:space="preserve"> to </w:t>
      </w:r>
      <w:r w:rsidR="00751EFF">
        <w:t xml:space="preserve">the </w:t>
      </w:r>
      <w:r w:rsidR="00D128DA">
        <w:t>organisational policies and protocols of the HDH</w:t>
      </w:r>
      <w:r w:rsidR="0023283F">
        <w:t>S.</w:t>
      </w:r>
      <w:r w:rsidR="000836FF">
        <w:t xml:space="preserve"> </w:t>
      </w:r>
      <w:r w:rsidR="009C1981">
        <w:t>Orientation must</w:t>
      </w:r>
      <w:r w:rsidR="000836FF">
        <w:t xml:space="preserve"> </w:t>
      </w:r>
      <w:r w:rsidR="00D128DA">
        <w:t xml:space="preserve">equip volunteers with the required attitudes, knowledge and skills </w:t>
      </w:r>
      <w:r w:rsidR="009C1981">
        <w:t xml:space="preserve">necessary </w:t>
      </w:r>
      <w:r w:rsidR="00D128DA">
        <w:t>to deliver culturally competent consultation</w:t>
      </w:r>
      <w:r w:rsidR="009C1981">
        <w:t>s</w:t>
      </w:r>
      <w:r w:rsidR="00D128DA">
        <w:t>.</w:t>
      </w:r>
      <w:r w:rsidR="000836FF">
        <w:t xml:space="preserve"> </w:t>
      </w:r>
      <w:r w:rsidR="00500FA7">
        <w:t>C</w:t>
      </w:r>
      <w:r w:rsidR="00854C33">
        <w:t>ommunity representatives and advocates</w:t>
      </w:r>
      <w:r w:rsidR="00BD7C92">
        <w:t xml:space="preserve"> </w:t>
      </w:r>
      <w:r w:rsidR="000836FF">
        <w:t xml:space="preserve">also </w:t>
      </w:r>
      <w:r w:rsidR="00500FA7">
        <w:t>require</w:t>
      </w:r>
      <w:r w:rsidR="00854C33">
        <w:t xml:space="preserve"> effective </w:t>
      </w:r>
      <w:r w:rsidR="001F50A0">
        <w:t>on-going</w:t>
      </w:r>
      <w:r w:rsidR="00500FA7">
        <w:t xml:space="preserve"> </w:t>
      </w:r>
      <w:r w:rsidR="001F50A0">
        <w:t>training</w:t>
      </w:r>
      <w:r w:rsidR="00BD7C92">
        <w:t xml:space="preserve"> </w:t>
      </w:r>
      <w:r w:rsidR="001F50A0">
        <w:t xml:space="preserve">to overcome communication barriers </w:t>
      </w:r>
      <w:r w:rsidR="00FC16DE">
        <w:t xml:space="preserve">associated with cultural diversity </w:t>
      </w:r>
      <w:r w:rsidR="001F50A0">
        <w:t xml:space="preserve">and </w:t>
      </w:r>
      <w:r w:rsidR="009C1981">
        <w:t>ensure that every volunteer has the</w:t>
      </w:r>
      <w:r w:rsidR="001F50A0">
        <w:t xml:space="preserve"> ability to inform an</w:t>
      </w:r>
      <w:r w:rsidR="008550C1">
        <w:t>d educate the local community in</w:t>
      </w:r>
      <w:r w:rsidR="001F50A0">
        <w:t xml:space="preserve"> culturally appropriate ways</w:t>
      </w:r>
      <w:r w:rsidR="007F3FB1">
        <w:t xml:space="preserve"> </w:t>
      </w:r>
      <w:r w:rsidR="0023283F">
        <w:t xml:space="preserve">(Voice 2005). </w:t>
      </w:r>
      <w:r w:rsidR="009C1981">
        <w:t xml:space="preserve"> </w:t>
      </w:r>
    </w:p>
    <w:p w:rsidR="002B130A" w:rsidRPr="004C6DEA" w:rsidRDefault="0046659A" w:rsidP="002B130A">
      <w:pPr>
        <w:spacing w:after="100" w:afterAutospacing="1" w:line="480" w:lineRule="auto"/>
        <w:jc w:val="center"/>
        <w:rPr>
          <w:sz w:val="32"/>
          <w:szCs w:val="32"/>
        </w:rPr>
      </w:pPr>
      <w:r w:rsidRPr="004C6DEA">
        <w:rPr>
          <w:sz w:val="32"/>
          <w:szCs w:val="32"/>
        </w:rPr>
        <w:t>Conclusion</w:t>
      </w:r>
    </w:p>
    <w:p w:rsidR="0023283F" w:rsidRDefault="004062EF" w:rsidP="002A25B2">
      <w:pPr>
        <w:spacing w:after="100" w:afterAutospacing="1" w:line="480" w:lineRule="auto"/>
        <w:jc w:val="both"/>
      </w:pPr>
      <w:r>
        <w:t>Through more effective recruitment, orientation education and on-going training,</w:t>
      </w:r>
      <w:r w:rsidR="00070682">
        <w:t xml:space="preserve"> the CBOA members must be proactive in their roles of facilitating community consultations</w:t>
      </w:r>
      <w:r w:rsidR="007F3FB1">
        <w:t>, providing recommendations to the HDHS board</w:t>
      </w:r>
      <w:r w:rsidR="00070682">
        <w:t xml:space="preserve"> and liaising w</w:t>
      </w:r>
      <w:r w:rsidR="002B130A">
        <w:t>ith community</w:t>
      </w:r>
      <w:r w:rsidR="007F3FB1">
        <w:t xml:space="preserve"> members and leaders</w:t>
      </w:r>
      <w:r w:rsidR="009C04C7">
        <w:t>.</w:t>
      </w:r>
      <w:r w:rsidR="007F3FB1">
        <w:t xml:space="preserve"> </w:t>
      </w:r>
      <w:r w:rsidR="002B130A">
        <w:t xml:space="preserve">I wish to continue </w:t>
      </w:r>
      <w:r w:rsidR="007F3FB1">
        <w:t xml:space="preserve">becoming a culturally competent </w:t>
      </w:r>
      <w:r w:rsidR="002B130A">
        <w:t>advocat</w:t>
      </w:r>
      <w:r w:rsidR="007F3FB1">
        <w:t>e</w:t>
      </w:r>
      <w:r w:rsidR="002B130A">
        <w:t xml:space="preserve"> for social inclusion,</w:t>
      </w:r>
      <w:r w:rsidR="007F3FB1">
        <w:t xml:space="preserve"> participation and involvement so that I can</w:t>
      </w:r>
      <w:r w:rsidR="002B130A">
        <w:t xml:space="preserve"> break down cultural barriers, remove prejudices and ensure that there is better tolerance and acceptance of other cultures in the </w:t>
      </w:r>
      <w:r w:rsidR="007F3FB1">
        <w:t xml:space="preserve">Hawkesbury </w:t>
      </w:r>
      <w:r w:rsidR="002B130A">
        <w:t>community</w:t>
      </w:r>
      <w:r w:rsidR="0085214F">
        <w:t xml:space="preserve"> so that</w:t>
      </w:r>
      <w:r w:rsidR="007F3FB1">
        <w:t xml:space="preserve"> </w:t>
      </w:r>
      <w:r w:rsidR="0085214F">
        <w:t xml:space="preserve">the Hawkesbury District can </w:t>
      </w:r>
      <w:r w:rsidR="007F3FB1">
        <w:t>embrac</w:t>
      </w:r>
      <w:r w:rsidR="0085214F">
        <w:t>e</w:t>
      </w:r>
      <w:r w:rsidR="002B130A">
        <w:t xml:space="preserve"> cultural diver</w:t>
      </w:r>
      <w:r w:rsidR="007F3FB1">
        <w:t>sity to its fullest expression.</w:t>
      </w:r>
      <w:r w:rsidR="0085214F">
        <w:t xml:space="preserve"> </w:t>
      </w:r>
    </w:p>
    <w:p w:rsidR="008550C1" w:rsidRDefault="008550C1" w:rsidP="002A25B2">
      <w:pPr>
        <w:spacing w:after="100" w:afterAutospacing="1" w:line="480" w:lineRule="auto"/>
        <w:jc w:val="both"/>
      </w:pPr>
    </w:p>
    <w:p w:rsidR="002B130A" w:rsidRDefault="002B130A" w:rsidP="002A25B2">
      <w:pPr>
        <w:spacing w:after="100" w:afterAutospacing="1" w:line="480" w:lineRule="auto"/>
        <w:jc w:val="both"/>
      </w:pPr>
    </w:p>
    <w:p w:rsidR="0085214F" w:rsidRDefault="0085214F" w:rsidP="002A25B2">
      <w:pPr>
        <w:spacing w:after="100" w:afterAutospacing="1" w:line="480" w:lineRule="auto"/>
        <w:jc w:val="both"/>
      </w:pPr>
    </w:p>
    <w:p w:rsidR="0085214F" w:rsidRDefault="0085214F" w:rsidP="002A25B2">
      <w:pPr>
        <w:spacing w:after="100" w:afterAutospacing="1" w:line="480" w:lineRule="auto"/>
        <w:jc w:val="both"/>
      </w:pPr>
    </w:p>
    <w:p w:rsidR="0085214F" w:rsidRDefault="0085214F" w:rsidP="002A25B2">
      <w:pPr>
        <w:spacing w:after="100" w:afterAutospacing="1" w:line="480" w:lineRule="auto"/>
        <w:jc w:val="both"/>
      </w:pPr>
    </w:p>
    <w:p w:rsidR="00A468AF" w:rsidRPr="00967DBD" w:rsidRDefault="001053EA" w:rsidP="002A25B2">
      <w:pPr>
        <w:spacing w:after="100" w:afterAutospacing="1" w:line="480" w:lineRule="auto"/>
        <w:jc w:val="center"/>
        <w:rPr>
          <w:sz w:val="40"/>
          <w:szCs w:val="40"/>
        </w:rPr>
      </w:pPr>
      <w:r w:rsidRPr="00967DBD">
        <w:rPr>
          <w:sz w:val="40"/>
          <w:szCs w:val="40"/>
        </w:rPr>
        <w:lastRenderedPageBreak/>
        <w:t>Reference List</w:t>
      </w:r>
    </w:p>
    <w:p w:rsidR="00E2697F" w:rsidRPr="00D57026" w:rsidRDefault="00E2697F" w:rsidP="002A25B2">
      <w:pPr>
        <w:spacing w:after="100" w:afterAutospacing="1" w:line="480" w:lineRule="auto"/>
        <w:jc w:val="both"/>
      </w:pPr>
      <w:r w:rsidRPr="00D57026">
        <w:t xml:space="preserve">Brook, C. 2000. </w:t>
      </w:r>
      <w:r w:rsidRPr="00D57026">
        <w:rPr>
          <w:i/>
        </w:rPr>
        <w:t>Community Advisory Committee Guidelines:</w:t>
      </w:r>
      <w:r w:rsidRPr="00D57026">
        <w:t xml:space="preserve"> </w:t>
      </w:r>
      <w:r w:rsidRPr="00D57026">
        <w:rPr>
          <w:i/>
        </w:rPr>
        <w:t>Non-Statutory Guidelines for Metropolitan Health Services to Assist in the Selection and Appointment of Members of Community Advisory Committees and to Provide Guidance in Relation to the Role and Conduct of Such Committees</w:t>
      </w:r>
      <w:r w:rsidRPr="00D57026">
        <w:t xml:space="preserve">. </w:t>
      </w:r>
      <w:proofErr w:type="gramStart"/>
      <w:r w:rsidRPr="00D57026">
        <w:t xml:space="preserve">Retrieved from </w:t>
      </w:r>
      <w:hyperlink r:id="rId8" w:history="1">
        <w:r w:rsidRPr="00D57026">
          <w:rPr>
            <w:rStyle w:val="Hyperlink"/>
          </w:rPr>
          <w:t>http://www.healthissuescentre.org.au</w:t>
        </w:r>
      </w:hyperlink>
      <w:r w:rsidRPr="00D57026">
        <w:t xml:space="preserve"> on the 24</w:t>
      </w:r>
      <w:r w:rsidRPr="00D57026">
        <w:rPr>
          <w:vertAlign w:val="superscript"/>
        </w:rPr>
        <w:t>th</w:t>
      </w:r>
      <w:r w:rsidRPr="00D57026">
        <w:t xml:space="preserve"> February 2014.</w:t>
      </w:r>
      <w:proofErr w:type="gramEnd"/>
    </w:p>
    <w:p w:rsidR="002A25B2" w:rsidRPr="00D57026" w:rsidRDefault="002A25B2" w:rsidP="002A25B2">
      <w:pPr>
        <w:spacing w:after="100" w:afterAutospacing="1" w:line="480" w:lineRule="auto"/>
        <w:jc w:val="both"/>
      </w:pPr>
      <w:r w:rsidRPr="00D57026">
        <w:t xml:space="preserve">Centre for Culture, Ethnicity and Health. 2010. </w:t>
      </w:r>
      <w:r w:rsidRPr="00D57026">
        <w:rPr>
          <w:i/>
        </w:rPr>
        <w:t>Cultural Competence Series</w:t>
      </w:r>
      <w:r w:rsidRPr="00D57026">
        <w:t xml:space="preserve">. </w:t>
      </w:r>
      <w:proofErr w:type="gramStart"/>
      <w:r w:rsidRPr="00D57026">
        <w:t xml:space="preserve">Retrieved from </w:t>
      </w:r>
      <w:hyperlink r:id="rId9" w:history="1">
        <w:r w:rsidRPr="00D57026">
          <w:rPr>
            <w:rStyle w:val="Hyperlink"/>
          </w:rPr>
          <w:t>http://www.ceh.org.au/</w:t>
        </w:r>
      </w:hyperlink>
      <w:r w:rsidRPr="00D57026">
        <w:t xml:space="preserve"> on the 24</w:t>
      </w:r>
      <w:r w:rsidRPr="00D57026">
        <w:rPr>
          <w:vertAlign w:val="superscript"/>
        </w:rPr>
        <w:t>th</w:t>
      </w:r>
      <w:r w:rsidRPr="00D57026">
        <w:t xml:space="preserve"> February 2014.</w:t>
      </w:r>
      <w:proofErr w:type="gramEnd"/>
    </w:p>
    <w:p w:rsidR="002A25B2" w:rsidRPr="00D57026" w:rsidRDefault="002A25B2" w:rsidP="002A25B2">
      <w:pPr>
        <w:pStyle w:val="ListParagraph"/>
        <w:numPr>
          <w:ilvl w:val="0"/>
          <w:numId w:val="21"/>
        </w:numPr>
        <w:spacing w:after="100" w:afterAutospacing="1" w:line="480" w:lineRule="auto"/>
        <w:jc w:val="both"/>
      </w:pPr>
      <w:r w:rsidRPr="00D57026">
        <w:t>Cultural Competence in Governance</w:t>
      </w:r>
    </w:p>
    <w:p w:rsidR="002A25B2" w:rsidRPr="00D57026" w:rsidRDefault="002A25B2" w:rsidP="002A25B2">
      <w:pPr>
        <w:pStyle w:val="ListParagraph"/>
        <w:numPr>
          <w:ilvl w:val="0"/>
          <w:numId w:val="21"/>
        </w:numPr>
        <w:spacing w:after="100" w:afterAutospacing="1" w:line="480" w:lineRule="auto"/>
        <w:jc w:val="both"/>
      </w:pPr>
      <w:r w:rsidRPr="00D57026">
        <w:t>A Framework for Cultural Competence</w:t>
      </w:r>
    </w:p>
    <w:p w:rsidR="002A25B2" w:rsidRPr="00D57026" w:rsidRDefault="002A25B2" w:rsidP="002A25B2">
      <w:pPr>
        <w:pStyle w:val="ListParagraph"/>
        <w:numPr>
          <w:ilvl w:val="0"/>
          <w:numId w:val="21"/>
        </w:numPr>
        <w:spacing w:after="100" w:afterAutospacing="1" w:line="480" w:lineRule="auto"/>
        <w:jc w:val="both"/>
      </w:pPr>
      <w:r w:rsidRPr="00D57026">
        <w:t>Cultural Competence in Staff Development</w:t>
      </w:r>
    </w:p>
    <w:p w:rsidR="002A25B2" w:rsidRPr="00D57026" w:rsidRDefault="002A25B2" w:rsidP="002A25B2">
      <w:pPr>
        <w:pStyle w:val="ListParagraph"/>
        <w:numPr>
          <w:ilvl w:val="0"/>
          <w:numId w:val="21"/>
        </w:numPr>
        <w:spacing w:after="100" w:afterAutospacing="1" w:line="480" w:lineRule="auto"/>
        <w:jc w:val="both"/>
      </w:pPr>
      <w:r w:rsidRPr="00D57026">
        <w:t>Cultural Competence in Planning, Monitoring and Evaluation</w:t>
      </w:r>
    </w:p>
    <w:p w:rsidR="002A25B2" w:rsidRPr="00D57026" w:rsidRDefault="002A25B2" w:rsidP="002A25B2">
      <w:pPr>
        <w:pStyle w:val="ListParagraph"/>
        <w:numPr>
          <w:ilvl w:val="0"/>
          <w:numId w:val="21"/>
        </w:numPr>
        <w:spacing w:after="100" w:afterAutospacing="1" w:line="480" w:lineRule="auto"/>
        <w:jc w:val="both"/>
      </w:pPr>
      <w:r w:rsidRPr="00D57026">
        <w:t>Cultural Competence in Organisational Infrastructure</w:t>
      </w:r>
    </w:p>
    <w:p w:rsidR="002A25B2" w:rsidRPr="00D57026" w:rsidRDefault="002A25B2" w:rsidP="002A25B2">
      <w:pPr>
        <w:pStyle w:val="ListParagraph"/>
        <w:numPr>
          <w:ilvl w:val="0"/>
          <w:numId w:val="21"/>
        </w:numPr>
        <w:spacing w:after="100" w:afterAutospacing="1" w:line="480" w:lineRule="auto"/>
        <w:jc w:val="both"/>
      </w:pPr>
      <w:r w:rsidRPr="00D57026">
        <w:t>Cultural Competence in Services and Interventions</w:t>
      </w:r>
    </w:p>
    <w:p w:rsidR="002A25B2" w:rsidRPr="00D57026" w:rsidRDefault="002A25B2" w:rsidP="002A25B2">
      <w:pPr>
        <w:pStyle w:val="ListParagraph"/>
        <w:numPr>
          <w:ilvl w:val="0"/>
          <w:numId w:val="21"/>
        </w:numPr>
        <w:spacing w:after="100" w:afterAutospacing="1" w:line="480" w:lineRule="auto"/>
        <w:jc w:val="both"/>
      </w:pPr>
      <w:r w:rsidRPr="00D57026">
        <w:t>Cultural Competence in Organisational Values</w:t>
      </w:r>
    </w:p>
    <w:p w:rsidR="002A25B2" w:rsidRPr="00D57026" w:rsidRDefault="002A25B2" w:rsidP="002A25B2">
      <w:pPr>
        <w:pStyle w:val="ListParagraph"/>
        <w:numPr>
          <w:ilvl w:val="0"/>
          <w:numId w:val="21"/>
        </w:numPr>
        <w:spacing w:after="100" w:afterAutospacing="1" w:line="480" w:lineRule="auto"/>
        <w:jc w:val="both"/>
      </w:pPr>
      <w:r w:rsidRPr="00D57026">
        <w:t>Cultural Competence in Communication</w:t>
      </w:r>
    </w:p>
    <w:p w:rsidR="00E2697F" w:rsidRPr="00D57026" w:rsidRDefault="00E2697F" w:rsidP="002A25B2">
      <w:pPr>
        <w:spacing w:after="100" w:afterAutospacing="1" w:line="480" w:lineRule="auto"/>
        <w:jc w:val="both"/>
      </w:pPr>
      <w:proofErr w:type="gramStart"/>
      <w:r w:rsidRPr="00D57026">
        <w:t>Family and C</w:t>
      </w:r>
      <w:r w:rsidR="00620537" w:rsidRPr="00D57026">
        <w:t>ommunity Development Committee.</w:t>
      </w:r>
      <w:proofErr w:type="gramEnd"/>
      <w:r w:rsidR="00620537" w:rsidRPr="00D57026">
        <w:t xml:space="preserve"> 2014</w:t>
      </w:r>
      <w:r w:rsidRPr="00D57026">
        <w:t xml:space="preserve">. </w:t>
      </w:r>
      <w:r w:rsidRPr="00D57026">
        <w:rPr>
          <w:i/>
        </w:rPr>
        <w:t>Inquiry in</w:t>
      </w:r>
      <w:r w:rsidR="0023283F" w:rsidRPr="00D57026">
        <w:rPr>
          <w:i/>
        </w:rPr>
        <w:t>to Social Inclusion for People w</w:t>
      </w:r>
      <w:r w:rsidRPr="00D57026">
        <w:rPr>
          <w:i/>
        </w:rPr>
        <w:t>ith Disability</w:t>
      </w:r>
      <w:r w:rsidRPr="00D57026">
        <w:t xml:space="preserve">. </w:t>
      </w:r>
      <w:proofErr w:type="gramStart"/>
      <w:r w:rsidRPr="00D57026">
        <w:t>Communication Rights Australia.</w:t>
      </w:r>
      <w:proofErr w:type="gramEnd"/>
      <w:r w:rsidRPr="00D57026">
        <w:t xml:space="preserve"> </w:t>
      </w:r>
      <w:proofErr w:type="gramStart"/>
      <w:r w:rsidRPr="00D57026">
        <w:t xml:space="preserve">Retrieved from </w:t>
      </w:r>
      <w:hyperlink r:id="rId10" w:history="1">
        <w:r w:rsidRPr="00D57026">
          <w:rPr>
            <w:rStyle w:val="Hyperlink"/>
          </w:rPr>
          <w:t>http://www.caus.com.au</w:t>
        </w:r>
      </w:hyperlink>
      <w:r w:rsidRPr="00D57026">
        <w:t xml:space="preserve"> on the 7th of March 2014.</w:t>
      </w:r>
      <w:proofErr w:type="gramEnd"/>
      <w:r w:rsidRPr="00D57026">
        <w:t xml:space="preserve"> </w:t>
      </w:r>
    </w:p>
    <w:p w:rsidR="001053EA" w:rsidRPr="00D57026" w:rsidRDefault="001053EA" w:rsidP="002A25B2">
      <w:pPr>
        <w:spacing w:after="100" w:afterAutospacing="1" w:line="480" w:lineRule="auto"/>
        <w:jc w:val="both"/>
      </w:pPr>
      <w:r w:rsidRPr="00D57026">
        <w:t>Haw</w:t>
      </w:r>
      <w:r w:rsidR="002B51D5" w:rsidRPr="00D57026">
        <w:t>kesbury District Health Service</w:t>
      </w:r>
      <w:r w:rsidR="00620537" w:rsidRPr="00D57026">
        <w:t xml:space="preserve"> (HDHS). </w:t>
      </w:r>
      <w:r w:rsidRPr="00D57026">
        <w:t xml:space="preserve">2006. </w:t>
      </w:r>
      <w:r w:rsidRPr="00D57026">
        <w:rPr>
          <w:i/>
        </w:rPr>
        <w:t>Constitution of the Community Board of Advice: Hawkesbury District Health Service Limited.</w:t>
      </w:r>
      <w:r w:rsidR="002B51D5" w:rsidRPr="00D57026">
        <w:rPr>
          <w:i/>
        </w:rPr>
        <w:t xml:space="preserve"> </w:t>
      </w:r>
      <w:r w:rsidR="00E2697F" w:rsidRPr="00D57026">
        <w:t>Community Board Advice, Hawkesbury District Health Service of the Hawkesbury Hospital.</w:t>
      </w:r>
    </w:p>
    <w:p w:rsidR="00496182" w:rsidRPr="00D57026" w:rsidRDefault="00496182" w:rsidP="002A25B2">
      <w:pPr>
        <w:spacing w:after="100" w:afterAutospacing="1" w:line="480" w:lineRule="auto"/>
        <w:jc w:val="both"/>
      </w:pPr>
      <w:proofErr w:type="gramStart"/>
      <w:r w:rsidRPr="00D57026">
        <w:lastRenderedPageBreak/>
        <w:t>Hawkesbury District Health Service.</w:t>
      </w:r>
      <w:proofErr w:type="gramEnd"/>
      <w:r w:rsidRPr="00D57026">
        <w:t xml:space="preserve"> 2010. </w:t>
      </w:r>
      <w:r w:rsidRPr="00D57026">
        <w:rPr>
          <w:i/>
        </w:rPr>
        <w:t>Caring for the Community</w:t>
      </w:r>
      <w:r w:rsidR="00620537" w:rsidRPr="00D57026">
        <w:t xml:space="preserve">. </w:t>
      </w:r>
      <w:proofErr w:type="gramStart"/>
      <w:r w:rsidR="00620537" w:rsidRPr="00D57026">
        <w:t xml:space="preserve">Retrieved </w:t>
      </w:r>
      <w:r w:rsidRPr="00D57026">
        <w:t xml:space="preserve">from </w:t>
      </w:r>
      <w:hyperlink r:id="rId11" w:history="1">
        <w:r w:rsidRPr="00D57026">
          <w:rPr>
            <w:rStyle w:val="Hyperlink"/>
          </w:rPr>
          <w:t>http://www.hdhs.com.au</w:t>
        </w:r>
      </w:hyperlink>
      <w:r w:rsidRPr="00D57026">
        <w:t xml:space="preserve"> on the 26</w:t>
      </w:r>
      <w:r w:rsidRPr="00D57026">
        <w:rPr>
          <w:vertAlign w:val="superscript"/>
        </w:rPr>
        <w:t>th</w:t>
      </w:r>
      <w:r w:rsidRPr="00D57026">
        <w:t xml:space="preserve"> February 2014.</w:t>
      </w:r>
      <w:proofErr w:type="gramEnd"/>
      <w:r w:rsidRPr="00D57026">
        <w:t xml:space="preserve"> </w:t>
      </w:r>
    </w:p>
    <w:p w:rsidR="002B51D5" w:rsidRPr="00D57026" w:rsidRDefault="002B51D5" w:rsidP="002A25B2">
      <w:pPr>
        <w:spacing w:after="100" w:afterAutospacing="1" w:line="480" w:lineRule="auto"/>
        <w:jc w:val="both"/>
      </w:pPr>
      <w:proofErr w:type="gramStart"/>
      <w:r w:rsidRPr="00D57026">
        <w:t>Harold</w:t>
      </w:r>
      <w:r w:rsidR="00967DBD" w:rsidRPr="00D57026">
        <w:t>, B</w:t>
      </w:r>
      <w:r w:rsidRPr="00D57026">
        <w:t xml:space="preserve"> and </w:t>
      </w:r>
      <w:proofErr w:type="spellStart"/>
      <w:r w:rsidRPr="00D57026">
        <w:t>Hegarty</w:t>
      </w:r>
      <w:proofErr w:type="spellEnd"/>
      <w:r w:rsidR="00E23CD3" w:rsidRPr="00D57026">
        <w:t>, M</w:t>
      </w:r>
      <w:r w:rsidRPr="00D57026">
        <w:t xml:space="preserve"> (2014).</w:t>
      </w:r>
      <w:proofErr w:type="gramEnd"/>
      <w:r w:rsidRPr="00D57026">
        <w:t xml:space="preserve"> </w:t>
      </w:r>
      <w:proofErr w:type="gramStart"/>
      <w:r w:rsidRPr="00D57026">
        <w:rPr>
          <w:i/>
        </w:rPr>
        <w:t>Comparative Analysis of the 2001 Consumer and Provider Partnership in Health Project</w:t>
      </w:r>
      <w:r w:rsidRPr="00D57026">
        <w:t>.</w:t>
      </w:r>
      <w:proofErr w:type="gramEnd"/>
      <w:r w:rsidR="00E23CD3" w:rsidRPr="00D57026">
        <w:t xml:space="preserve"> </w:t>
      </w:r>
      <w:r w:rsidR="00E2697F" w:rsidRPr="00D57026">
        <w:t>Community Board Advice, Hawkesbury District Health Service of the Hawkesbury Hospital.</w:t>
      </w:r>
    </w:p>
    <w:p w:rsidR="00620537" w:rsidRDefault="00620537" w:rsidP="002A25B2">
      <w:pPr>
        <w:spacing w:after="100" w:afterAutospacing="1" w:line="480" w:lineRule="auto"/>
        <w:jc w:val="both"/>
      </w:pPr>
      <w:proofErr w:type="gramStart"/>
      <w:r w:rsidRPr="00D57026">
        <w:t>Hawkesbury City Council.</w:t>
      </w:r>
      <w:proofErr w:type="gramEnd"/>
      <w:r w:rsidRPr="00D57026">
        <w:t xml:space="preserve"> 2006. </w:t>
      </w:r>
      <w:r w:rsidRPr="00D57026">
        <w:rPr>
          <w:i/>
        </w:rPr>
        <w:t>Hawkesbury Cultural Plan (2006-2011).</w:t>
      </w:r>
      <w:r w:rsidRPr="00D57026">
        <w:t xml:space="preserve"> </w:t>
      </w:r>
      <w:proofErr w:type="gramStart"/>
      <w:r w:rsidRPr="00D57026">
        <w:t xml:space="preserve">Retrieved from </w:t>
      </w:r>
      <w:hyperlink r:id="rId12" w:history="1">
        <w:r w:rsidRPr="00D57026">
          <w:rPr>
            <w:rStyle w:val="Hyperlink"/>
          </w:rPr>
          <w:t>http://www.hawkesbury.nsw.gov.au/</w:t>
        </w:r>
      </w:hyperlink>
      <w:r w:rsidRPr="00D57026">
        <w:t xml:space="preserve"> on the 24</w:t>
      </w:r>
      <w:r w:rsidRPr="00D57026">
        <w:rPr>
          <w:vertAlign w:val="superscript"/>
        </w:rPr>
        <w:t>th</w:t>
      </w:r>
      <w:r w:rsidRPr="00D57026">
        <w:t xml:space="preserve"> January 2014.</w:t>
      </w:r>
      <w:proofErr w:type="gramEnd"/>
    </w:p>
    <w:p w:rsidR="00FC2C49" w:rsidRDefault="00FC2C49" w:rsidP="002A25B2">
      <w:pPr>
        <w:spacing w:after="100" w:afterAutospacing="1" w:line="480" w:lineRule="auto"/>
        <w:jc w:val="both"/>
      </w:pPr>
      <w:proofErr w:type="gramStart"/>
      <w:r>
        <w:t xml:space="preserve">Kirby, P; </w:t>
      </w:r>
      <w:proofErr w:type="spellStart"/>
      <w:r>
        <w:t>Lanlong</w:t>
      </w:r>
      <w:proofErr w:type="spellEnd"/>
      <w:r>
        <w:t xml:space="preserve">, C; </w:t>
      </w:r>
      <w:proofErr w:type="spellStart"/>
      <w:r>
        <w:t>Croning</w:t>
      </w:r>
      <w:proofErr w:type="spellEnd"/>
      <w:r>
        <w:t>, K &amp; Sinclair, R (2003).</w:t>
      </w:r>
      <w:proofErr w:type="gramEnd"/>
      <w:r>
        <w:t xml:space="preserve"> </w:t>
      </w:r>
      <w:proofErr w:type="gramStart"/>
      <w:r>
        <w:t>Building a Culture of Participation: Involving Children and Young People in Policy, Service Planning, Delivery and Evaluation.</w:t>
      </w:r>
      <w:proofErr w:type="gramEnd"/>
      <w:r>
        <w:t xml:space="preserve"> </w:t>
      </w:r>
      <w:proofErr w:type="gramStart"/>
      <w:r>
        <w:t>Department of Education and Skills.</w:t>
      </w:r>
      <w:proofErr w:type="gramEnd"/>
    </w:p>
    <w:p w:rsidR="00E2697F" w:rsidRPr="00D57026" w:rsidRDefault="00620537" w:rsidP="002A25B2">
      <w:pPr>
        <w:spacing w:after="100" w:afterAutospacing="1" w:line="480" w:lineRule="auto"/>
        <w:jc w:val="both"/>
      </w:pPr>
      <w:proofErr w:type="gramStart"/>
      <w:r w:rsidRPr="00D57026">
        <w:t>Manningham City Council.</w:t>
      </w:r>
      <w:proofErr w:type="gramEnd"/>
      <w:r w:rsidRPr="00D57026">
        <w:t xml:space="preserve"> 2014</w:t>
      </w:r>
      <w:r w:rsidR="00E2697F" w:rsidRPr="00D57026">
        <w:t xml:space="preserve">. </w:t>
      </w:r>
      <w:r w:rsidR="00E2697F" w:rsidRPr="00D57026">
        <w:rPr>
          <w:i/>
        </w:rPr>
        <w:t>Community Consultation and Engagement Policy</w:t>
      </w:r>
      <w:r w:rsidRPr="00D57026">
        <w:t xml:space="preserve">. </w:t>
      </w:r>
      <w:proofErr w:type="gramStart"/>
      <w:r w:rsidRPr="00D57026">
        <w:t xml:space="preserve">Retrieved from </w:t>
      </w:r>
      <w:hyperlink r:id="rId13" w:history="1">
        <w:r w:rsidRPr="00D57026">
          <w:rPr>
            <w:rStyle w:val="Hyperlink"/>
          </w:rPr>
          <w:t>http://www.manningham.vic.gov.au</w:t>
        </w:r>
      </w:hyperlink>
      <w:r w:rsidRPr="00D57026">
        <w:t xml:space="preserve"> on the 24</w:t>
      </w:r>
      <w:r w:rsidRPr="00D57026">
        <w:rPr>
          <w:vertAlign w:val="superscript"/>
        </w:rPr>
        <w:t>th</w:t>
      </w:r>
      <w:r w:rsidRPr="00D57026">
        <w:t xml:space="preserve"> January 2014.</w:t>
      </w:r>
      <w:proofErr w:type="gramEnd"/>
    </w:p>
    <w:p w:rsidR="00EA58F8" w:rsidRPr="00D57026" w:rsidRDefault="00EA58F8" w:rsidP="002A25B2">
      <w:pPr>
        <w:spacing w:after="100" w:afterAutospacing="1" w:line="480" w:lineRule="auto"/>
      </w:pPr>
      <w:proofErr w:type="gramStart"/>
      <w:r w:rsidRPr="00D57026">
        <w:t>New South Wales Go</w:t>
      </w:r>
      <w:r w:rsidR="00620537" w:rsidRPr="00D57026">
        <w:t>vernment.</w:t>
      </w:r>
      <w:proofErr w:type="gramEnd"/>
      <w:r w:rsidR="00620537" w:rsidRPr="00D57026">
        <w:t xml:space="preserve"> 2013</w:t>
      </w:r>
      <w:r w:rsidRPr="00D57026">
        <w:t xml:space="preserve">. </w:t>
      </w:r>
      <w:proofErr w:type="gramStart"/>
      <w:r w:rsidRPr="00D57026">
        <w:rPr>
          <w:i/>
        </w:rPr>
        <w:t>About</w:t>
      </w:r>
      <w:proofErr w:type="gramEnd"/>
      <w:r w:rsidRPr="00D57026">
        <w:rPr>
          <w:i/>
        </w:rPr>
        <w:t xml:space="preserve"> NSW 2021</w:t>
      </w:r>
      <w:r w:rsidRPr="00D57026">
        <w:t xml:space="preserve">. </w:t>
      </w:r>
      <w:proofErr w:type="gramStart"/>
      <w:r w:rsidRPr="00D57026">
        <w:t xml:space="preserve">Retrieved from </w:t>
      </w:r>
      <w:hyperlink r:id="rId14" w:history="1">
        <w:r w:rsidRPr="00D57026">
          <w:rPr>
            <w:rStyle w:val="Hyperlink"/>
          </w:rPr>
          <w:t>http://www.2021.nsw.gov.au/about-nsw-2021</w:t>
        </w:r>
      </w:hyperlink>
      <w:r w:rsidRPr="00D57026">
        <w:t xml:space="preserve"> on the 10th of March 2014.</w:t>
      </w:r>
      <w:proofErr w:type="gramEnd"/>
    </w:p>
    <w:p w:rsidR="00E2697F" w:rsidRPr="00D57026" w:rsidRDefault="005D25C4" w:rsidP="002A25B2">
      <w:pPr>
        <w:spacing w:after="100" w:afterAutospacing="1" w:line="480" w:lineRule="auto"/>
        <w:jc w:val="both"/>
      </w:pPr>
      <w:proofErr w:type="spellStart"/>
      <w:proofErr w:type="gramStart"/>
      <w:r w:rsidRPr="00D57026">
        <w:t>Meneze</w:t>
      </w:r>
      <w:proofErr w:type="spellEnd"/>
      <w:r w:rsidRPr="00D57026">
        <w:t xml:space="preserve">, </w:t>
      </w:r>
      <w:proofErr w:type="spellStart"/>
      <w:r w:rsidRPr="00D57026">
        <w:t>Hannag</w:t>
      </w:r>
      <w:proofErr w:type="spellEnd"/>
      <w:r w:rsidRPr="00D57026">
        <w:t xml:space="preserve"> and </w:t>
      </w:r>
      <w:proofErr w:type="spellStart"/>
      <w:r w:rsidRPr="00D57026">
        <w:t>Yassky</w:t>
      </w:r>
      <w:proofErr w:type="spellEnd"/>
      <w:r w:rsidRPr="00D57026">
        <w:t>.</w:t>
      </w:r>
      <w:proofErr w:type="gramEnd"/>
      <w:r w:rsidRPr="00D57026">
        <w:t xml:space="preserve"> 2012</w:t>
      </w:r>
      <w:r w:rsidR="00E2697F" w:rsidRPr="00D57026">
        <w:t xml:space="preserve">. </w:t>
      </w:r>
      <w:r w:rsidR="00E2697F" w:rsidRPr="00D57026">
        <w:rPr>
          <w:i/>
        </w:rPr>
        <w:t>Guidance Tool for Community Advisory Boards</w:t>
      </w:r>
      <w:r w:rsidR="00E2697F" w:rsidRPr="00D57026">
        <w:t xml:space="preserve">. </w:t>
      </w:r>
      <w:proofErr w:type="gramStart"/>
      <w:r w:rsidR="00E2697F" w:rsidRPr="00D57026">
        <w:t xml:space="preserve">Retrieved from </w:t>
      </w:r>
      <w:hyperlink r:id="rId15" w:history="1">
        <w:r w:rsidR="00E2697F" w:rsidRPr="00D57026">
          <w:rPr>
            <w:rStyle w:val="Hyperlink"/>
          </w:rPr>
          <w:t>http://www.iavi.org/Information-Center</w:t>
        </w:r>
      </w:hyperlink>
      <w:r w:rsidRPr="00D57026">
        <w:t xml:space="preserve"> on the 26th January</w:t>
      </w:r>
      <w:r w:rsidR="00E2697F" w:rsidRPr="00D57026">
        <w:t xml:space="preserve"> 2014.</w:t>
      </w:r>
      <w:proofErr w:type="gramEnd"/>
    </w:p>
    <w:p w:rsidR="00435C4C" w:rsidRPr="00D57026" w:rsidRDefault="00435C4C" w:rsidP="002A25B2">
      <w:pPr>
        <w:spacing w:after="100" w:afterAutospacing="1" w:line="480" w:lineRule="auto"/>
        <w:jc w:val="both"/>
      </w:pPr>
      <w:r w:rsidRPr="00D57026">
        <w:t xml:space="preserve">O’Brien, B. </w:t>
      </w:r>
      <w:proofErr w:type="spellStart"/>
      <w:r w:rsidRPr="00D57026">
        <w:t>Alderdice</w:t>
      </w:r>
      <w:proofErr w:type="spellEnd"/>
      <w:r w:rsidRPr="00D57026">
        <w:t xml:space="preserve">, A. Hales, J. 2008. </w:t>
      </w:r>
      <w:proofErr w:type="gramStart"/>
      <w:r w:rsidRPr="00D57026">
        <w:rPr>
          <w:i/>
        </w:rPr>
        <w:t>Evaluation of the Effectiveness of the Community Advisory Committees to Boards of Victorian Public Health Services</w:t>
      </w:r>
      <w:r w:rsidRPr="00D57026">
        <w:t>.</w:t>
      </w:r>
      <w:proofErr w:type="gramEnd"/>
      <w:r w:rsidRPr="00D57026">
        <w:t xml:space="preserve"> Department of Human Services retrieved from </w:t>
      </w:r>
      <w:hyperlink r:id="rId16" w:history="1">
        <w:r w:rsidRPr="00D57026">
          <w:rPr>
            <w:rStyle w:val="Hyperlink"/>
          </w:rPr>
          <w:t>http://www.healthissuescentre.org.au</w:t>
        </w:r>
      </w:hyperlink>
      <w:r w:rsidRPr="00D57026">
        <w:t xml:space="preserve"> on the 24</w:t>
      </w:r>
      <w:r w:rsidRPr="00D57026">
        <w:rPr>
          <w:vertAlign w:val="superscript"/>
        </w:rPr>
        <w:t>th</w:t>
      </w:r>
      <w:r w:rsidRPr="00D57026">
        <w:t xml:space="preserve"> February 2014.</w:t>
      </w:r>
    </w:p>
    <w:p w:rsidR="00E93ACA" w:rsidRPr="00D57026" w:rsidRDefault="00E93ACA" w:rsidP="002A25B2">
      <w:pPr>
        <w:spacing w:after="100" w:afterAutospacing="1" w:line="480" w:lineRule="auto"/>
        <w:jc w:val="both"/>
      </w:pPr>
      <w:r w:rsidRPr="00D57026">
        <w:t xml:space="preserve">Profile ID. 2014. </w:t>
      </w:r>
      <w:r w:rsidRPr="00D57026">
        <w:rPr>
          <w:i/>
        </w:rPr>
        <w:t>Welcome to Hawkesbury City Community Profile</w:t>
      </w:r>
      <w:r w:rsidRPr="00D57026">
        <w:t xml:space="preserve">. </w:t>
      </w:r>
      <w:proofErr w:type="gramStart"/>
      <w:r w:rsidRPr="00D57026">
        <w:t>Retrieved from 2</w:t>
      </w:r>
      <w:r w:rsidR="003812DD" w:rsidRPr="00D57026">
        <w:rPr>
          <w:vertAlign w:val="superscript"/>
        </w:rPr>
        <w:t>nd</w:t>
      </w:r>
      <w:r w:rsidR="003812DD" w:rsidRPr="00D57026">
        <w:t xml:space="preserve"> </w:t>
      </w:r>
      <w:r w:rsidRPr="00D57026">
        <w:t>of March 2014.</w:t>
      </w:r>
      <w:proofErr w:type="gramEnd"/>
    </w:p>
    <w:p w:rsidR="000B5172" w:rsidRPr="00D57026" w:rsidRDefault="005D25C4" w:rsidP="002A25B2">
      <w:pPr>
        <w:spacing w:after="100" w:afterAutospacing="1" w:line="480" w:lineRule="auto"/>
        <w:jc w:val="both"/>
      </w:pPr>
      <w:r w:rsidRPr="00D57026">
        <w:lastRenderedPageBreak/>
        <w:t>Quinn, S. 2004</w:t>
      </w:r>
      <w:r w:rsidR="000B5172" w:rsidRPr="00D57026">
        <w:t xml:space="preserve">. </w:t>
      </w:r>
      <w:proofErr w:type="gramStart"/>
      <w:r w:rsidR="000B5172" w:rsidRPr="00D57026">
        <w:t>Protecting Human Subjects: The Role of Community Advisory Boards.</w:t>
      </w:r>
      <w:proofErr w:type="gramEnd"/>
      <w:r w:rsidR="000B5172" w:rsidRPr="00D57026">
        <w:t xml:space="preserve"> </w:t>
      </w:r>
      <w:proofErr w:type="gramStart"/>
      <w:r w:rsidR="000B5172" w:rsidRPr="00D57026">
        <w:t xml:space="preserve">American </w:t>
      </w:r>
      <w:r w:rsidR="000B5172" w:rsidRPr="00D57026">
        <w:rPr>
          <w:i/>
        </w:rPr>
        <w:t>Journal of Public Health</w:t>
      </w:r>
      <w:r w:rsidR="000B5172" w:rsidRPr="00D57026">
        <w:t>.</w:t>
      </w:r>
      <w:proofErr w:type="gramEnd"/>
      <w:r w:rsidR="000B5172" w:rsidRPr="00D57026">
        <w:t xml:space="preserve"> </w:t>
      </w:r>
      <w:proofErr w:type="gramStart"/>
      <w:r w:rsidR="000B5172" w:rsidRPr="00D57026">
        <w:t>Volume 94.</w:t>
      </w:r>
      <w:proofErr w:type="gramEnd"/>
      <w:r w:rsidR="000B5172" w:rsidRPr="00D57026">
        <w:t xml:space="preserve"> No.6 (Pages 918-922)</w:t>
      </w:r>
    </w:p>
    <w:p w:rsidR="00D57026" w:rsidRPr="00D57026" w:rsidRDefault="00D57026" w:rsidP="002A25B2">
      <w:pPr>
        <w:spacing w:after="100" w:afterAutospacing="1" w:line="480" w:lineRule="auto"/>
        <w:jc w:val="both"/>
      </w:pPr>
      <w:proofErr w:type="gramStart"/>
      <w:r w:rsidRPr="00D57026">
        <w:t>TAFE NSW (2014).</w:t>
      </w:r>
      <w:proofErr w:type="gramEnd"/>
      <w:r w:rsidRPr="00D57026">
        <w:t xml:space="preserve"> </w:t>
      </w:r>
      <w:proofErr w:type="gramStart"/>
      <w:r w:rsidRPr="00D57026">
        <w:rPr>
          <w:i/>
        </w:rPr>
        <w:t>Understanding Communities and Different Social and Culture Groups within Communities.</w:t>
      </w:r>
      <w:proofErr w:type="gramEnd"/>
      <w:r w:rsidRPr="00D57026">
        <w:rPr>
          <w:i/>
        </w:rPr>
        <w:t xml:space="preserve"> </w:t>
      </w:r>
      <w:proofErr w:type="gramStart"/>
      <w:r w:rsidRPr="00D57026">
        <w:t>Retrieved from class on the 21</w:t>
      </w:r>
      <w:r w:rsidRPr="00D57026">
        <w:rPr>
          <w:vertAlign w:val="superscript"/>
        </w:rPr>
        <w:t>st</w:t>
      </w:r>
      <w:r w:rsidRPr="00D57026">
        <w:t xml:space="preserve"> February 2014.</w:t>
      </w:r>
      <w:proofErr w:type="gramEnd"/>
    </w:p>
    <w:p w:rsidR="00671769" w:rsidRPr="00D57026" w:rsidRDefault="00E23CD3" w:rsidP="002A25B2">
      <w:pPr>
        <w:spacing w:after="100" w:afterAutospacing="1" w:line="480" w:lineRule="auto"/>
        <w:jc w:val="both"/>
      </w:pPr>
      <w:proofErr w:type="gramStart"/>
      <w:r w:rsidRPr="00D57026">
        <w:t>Th</w:t>
      </w:r>
      <w:r w:rsidR="005D25C4" w:rsidRPr="00D57026">
        <w:t>erapeutic Goods Administration.</w:t>
      </w:r>
      <w:proofErr w:type="gramEnd"/>
      <w:r w:rsidR="005D25C4" w:rsidRPr="00D57026">
        <w:t xml:space="preserve"> 2013</w:t>
      </w:r>
      <w:r w:rsidRPr="00D57026">
        <w:t>.</w:t>
      </w:r>
      <w:r w:rsidRPr="00D57026">
        <w:rPr>
          <w:i/>
        </w:rPr>
        <w:t xml:space="preserve"> TGA Advisory Committee Guidelines: Declarations of Interests, Managing Conflict</w:t>
      </w:r>
      <w:r w:rsidR="00671769" w:rsidRPr="00D57026">
        <w:rPr>
          <w:i/>
        </w:rPr>
        <w:t>s of Interests</w:t>
      </w:r>
      <w:r w:rsidR="00671769" w:rsidRPr="00D57026">
        <w:t xml:space="preserve">. </w:t>
      </w:r>
      <w:proofErr w:type="gramStart"/>
      <w:r w:rsidR="00671769" w:rsidRPr="00D57026">
        <w:t xml:space="preserve">Retrieved from </w:t>
      </w:r>
      <w:hyperlink r:id="rId17" w:history="1">
        <w:r w:rsidR="00671769" w:rsidRPr="00D57026">
          <w:rPr>
            <w:rStyle w:val="Hyperlink"/>
          </w:rPr>
          <w:t>http://tga.gov.au</w:t>
        </w:r>
      </w:hyperlink>
      <w:r w:rsidR="00671769" w:rsidRPr="00D57026">
        <w:t xml:space="preserve"> on the 24</w:t>
      </w:r>
      <w:r w:rsidR="00671769" w:rsidRPr="00D57026">
        <w:rPr>
          <w:vertAlign w:val="superscript"/>
        </w:rPr>
        <w:t>th</w:t>
      </w:r>
      <w:r w:rsidR="00671769" w:rsidRPr="00D57026">
        <w:t xml:space="preserve"> of February, 2014.</w:t>
      </w:r>
      <w:proofErr w:type="gramEnd"/>
    </w:p>
    <w:p w:rsidR="005D25C4" w:rsidRPr="00D57026" w:rsidRDefault="005D25C4" w:rsidP="002A25B2">
      <w:pPr>
        <w:spacing w:after="100" w:afterAutospacing="1" w:line="480" w:lineRule="auto"/>
        <w:jc w:val="both"/>
      </w:pPr>
      <w:proofErr w:type="gramStart"/>
      <w:r w:rsidRPr="00D57026">
        <w:t>United Nations Population Fund.</w:t>
      </w:r>
      <w:proofErr w:type="gramEnd"/>
      <w:r w:rsidRPr="00D57026">
        <w:t xml:space="preserve"> 2013. Rights and Principles. </w:t>
      </w:r>
      <w:proofErr w:type="gramStart"/>
      <w:r w:rsidRPr="00D57026">
        <w:t xml:space="preserve">Retrieved from </w:t>
      </w:r>
      <w:hyperlink r:id="rId18" w:history="1">
        <w:r w:rsidRPr="00D57026">
          <w:rPr>
            <w:rStyle w:val="Hyperlink"/>
            <w:rFonts w:eastAsia="Times New Roman" w:cs="Arial"/>
            <w:i/>
            <w:iCs/>
            <w:lang w:eastAsia="en-AU"/>
          </w:rPr>
          <w:t>http://www.unfpa.org/rights/principles.htm</w:t>
        </w:r>
      </w:hyperlink>
      <w:r w:rsidRPr="00D57026">
        <w:t xml:space="preserve"> on the </w:t>
      </w:r>
      <w:r w:rsidR="003812DD" w:rsidRPr="00D57026">
        <w:t>2</w:t>
      </w:r>
      <w:r w:rsidRPr="00D57026">
        <w:t>3rd February 2014</w:t>
      </w:r>
      <w:r w:rsidRPr="00D57026">
        <w:rPr>
          <w:rFonts w:eastAsia="Times New Roman" w:cs="Arial"/>
          <w:i/>
          <w:iCs/>
          <w:color w:val="565656"/>
          <w:lang w:eastAsia="en-AU"/>
        </w:rPr>
        <w:t>.</w:t>
      </w:r>
      <w:proofErr w:type="gramEnd"/>
    </w:p>
    <w:p w:rsidR="00620537" w:rsidRPr="00D57026" w:rsidRDefault="00620537" w:rsidP="002A25B2">
      <w:pPr>
        <w:spacing w:after="100" w:afterAutospacing="1" w:line="480" w:lineRule="auto"/>
        <w:jc w:val="both"/>
      </w:pPr>
      <w:proofErr w:type="gramStart"/>
      <w:r w:rsidRPr="00D57026">
        <w:t>Voice.</w:t>
      </w:r>
      <w:proofErr w:type="gramEnd"/>
      <w:r w:rsidRPr="00D57026">
        <w:t xml:space="preserve"> 2005. </w:t>
      </w:r>
      <w:r w:rsidRPr="00D57026">
        <w:rPr>
          <w:i/>
        </w:rPr>
        <w:t>Developing and Culturally Competent Organisation</w:t>
      </w:r>
      <w:r w:rsidRPr="00D57026">
        <w:t xml:space="preserve">. </w:t>
      </w:r>
      <w:proofErr w:type="gramStart"/>
      <w:r w:rsidRPr="00D57026">
        <w:t xml:space="preserve">Retrieved from </w:t>
      </w:r>
      <w:hyperlink r:id="rId19" w:history="1">
        <w:r w:rsidRPr="00D57026">
          <w:rPr>
            <w:rStyle w:val="Hyperlink"/>
          </w:rPr>
          <w:t>www.pcvlibrary.asn.au</w:t>
        </w:r>
      </w:hyperlink>
      <w:r w:rsidRPr="00D57026">
        <w:t xml:space="preserve"> on the </w:t>
      </w:r>
      <w:r w:rsidR="003812DD" w:rsidRPr="00D57026">
        <w:t>2</w:t>
      </w:r>
      <w:r w:rsidRPr="00D57026">
        <w:t>3</w:t>
      </w:r>
      <w:r w:rsidRPr="00D57026">
        <w:rPr>
          <w:vertAlign w:val="superscript"/>
        </w:rPr>
        <w:t>rd</w:t>
      </w:r>
      <w:r w:rsidRPr="00D57026">
        <w:t xml:space="preserve"> of February 2014.</w:t>
      </w:r>
      <w:proofErr w:type="gramEnd"/>
    </w:p>
    <w:p w:rsidR="00671769" w:rsidRPr="00D57026" w:rsidRDefault="00671769" w:rsidP="002A25B2">
      <w:pPr>
        <w:spacing w:after="100" w:afterAutospacing="1" w:line="480" w:lineRule="auto"/>
        <w:jc w:val="both"/>
      </w:pPr>
      <w:proofErr w:type="gramStart"/>
      <w:r w:rsidRPr="00D57026">
        <w:t>Western Health.</w:t>
      </w:r>
      <w:proofErr w:type="gramEnd"/>
      <w:r w:rsidRPr="00D57026">
        <w:t xml:space="preserve"> 2012. </w:t>
      </w:r>
      <w:r w:rsidRPr="00D57026">
        <w:rPr>
          <w:i/>
        </w:rPr>
        <w:t>Cultural Diversity an</w:t>
      </w:r>
      <w:r w:rsidR="005D25C4" w:rsidRPr="00D57026">
        <w:rPr>
          <w:i/>
        </w:rPr>
        <w:t>d</w:t>
      </w:r>
      <w:r w:rsidRPr="00D57026">
        <w:rPr>
          <w:i/>
        </w:rPr>
        <w:t xml:space="preserve"> Community Advisory Committee Charter</w:t>
      </w:r>
      <w:r w:rsidRPr="00D57026">
        <w:t xml:space="preserve">. Retrieved from </w:t>
      </w:r>
      <w:hyperlink r:id="rId20" w:history="1">
        <w:r w:rsidRPr="00D57026">
          <w:rPr>
            <w:rStyle w:val="Hyperlink"/>
          </w:rPr>
          <w:t>http://www.westernhealth.org.au</w:t>
        </w:r>
      </w:hyperlink>
      <w:r w:rsidRPr="00D57026">
        <w:t xml:space="preserve"> on the 24</w:t>
      </w:r>
      <w:r w:rsidRPr="00D57026">
        <w:rPr>
          <w:vertAlign w:val="superscript"/>
        </w:rPr>
        <w:t>th</w:t>
      </w:r>
      <w:r w:rsidRPr="00D57026">
        <w:t xml:space="preserve"> of February, 2014)</w:t>
      </w:r>
    </w:p>
    <w:p w:rsidR="00671769" w:rsidRDefault="00671769" w:rsidP="004D13A0"/>
    <w:p w:rsidR="00BE6BC3" w:rsidRDefault="00BE6BC3" w:rsidP="004D13A0"/>
    <w:p w:rsidR="00BE6BC3" w:rsidRDefault="00BE6BC3" w:rsidP="004D13A0"/>
    <w:p w:rsidR="00BE6BC3" w:rsidRDefault="00BE6BC3" w:rsidP="004D13A0"/>
    <w:p w:rsidR="00BE6BC3" w:rsidRDefault="00BE6BC3" w:rsidP="004D13A0"/>
    <w:p w:rsidR="00BE6BC3" w:rsidRDefault="00BE6BC3" w:rsidP="004D13A0"/>
    <w:p w:rsidR="00BE6BC3" w:rsidRDefault="00BE6BC3" w:rsidP="004D13A0"/>
    <w:p w:rsidR="005C5C78" w:rsidRDefault="005C5C78" w:rsidP="005C5C78">
      <w:pPr>
        <w:jc w:val="both"/>
      </w:pPr>
    </w:p>
    <w:p w:rsidR="0085214F" w:rsidRDefault="0085214F" w:rsidP="005C5C78">
      <w:pPr>
        <w:jc w:val="both"/>
      </w:pPr>
    </w:p>
    <w:p w:rsidR="0085214F" w:rsidRPr="005C5C78" w:rsidRDefault="0085214F" w:rsidP="005C5C78">
      <w:pPr>
        <w:jc w:val="both"/>
      </w:pPr>
    </w:p>
    <w:p w:rsidR="00E23CD3" w:rsidRPr="000E6103" w:rsidRDefault="00E23CD3" w:rsidP="00E23CD3">
      <w:pPr>
        <w:jc w:val="center"/>
        <w:rPr>
          <w:sz w:val="40"/>
          <w:szCs w:val="40"/>
        </w:rPr>
      </w:pPr>
      <w:r w:rsidRPr="000E6103">
        <w:rPr>
          <w:sz w:val="40"/>
          <w:szCs w:val="40"/>
        </w:rPr>
        <w:lastRenderedPageBreak/>
        <w:t>A</w:t>
      </w:r>
      <w:r w:rsidR="005C5C78">
        <w:rPr>
          <w:sz w:val="40"/>
          <w:szCs w:val="40"/>
        </w:rPr>
        <w:t>ppendix 1</w:t>
      </w:r>
      <w:r>
        <w:rPr>
          <w:sz w:val="40"/>
          <w:szCs w:val="40"/>
        </w:rPr>
        <w:t>: Roles of CBOA in CBOA Constitution</w:t>
      </w:r>
    </w:p>
    <w:p w:rsidR="00E23CD3" w:rsidRDefault="002F4044" w:rsidP="00E23CD3">
      <w:r w:rsidRPr="002F4044">
        <w:rPr>
          <w:noProof/>
          <w:lang w:val="en-US" w:eastAsia="zh-TW"/>
        </w:rPr>
        <w:pict>
          <v:shapetype id="_x0000_t202" coordsize="21600,21600" o:spt="202" path="m,l,21600r21600,l21600,xe">
            <v:stroke joinstyle="miter"/>
            <v:path gradientshapeok="t" o:connecttype="rect"/>
          </v:shapetype>
          <v:shape id="_x0000_s1031" type="#_x0000_t202" style="position:absolute;margin-left:0;margin-top:0;width:474.7pt;height:383.1pt;z-index:251666432;mso-position-horizontal:center;mso-width-relative:margin;mso-height-relative:margin">
            <v:textbox>
              <w:txbxContent>
                <w:p w:rsidR="00FB66B8" w:rsidRDefault="00FB66B8" w:rsidP="00E23CD3">
                  <w:pPr>
                    <w:jc w:val="both"/>
                  </w:pPr>
                  <w:r>
                    <w:t>The Constitution of the Community Board of Advice defines the roles of the CBOA members. As members of the CBOA, two key roles of the HDHS fulfil the functions of the all others:</w:t>
                  </w:r>
                </w:p>
                <w:p w:rsidR="00FB66B8" w:rsidRPr="001C5751" w:rsidRDefault="00FB66B8" w:rsidP="001C5751">
                  <w:pPr>
                    <w:pStyle w:val="ListParagraph"/>
                    <w:numPr>
                      <w:ilvl w:val="0"/>
                      <w:numId w:val="18"/>
                    </w:numPr>
                    <w:jc w:val="both"/>
                    <w:rPr>
                      <w:b/>
                    </w:rPr>
                  </w:pPr>
                  <w:r w:rsidRPr="001C5751">
                    <w:rPr>
                      <w:b/>
                    </w:rPr>
                    <w:t>Provide Recommendations to the Hawkesbury District Health Service</w:t>
                  </w:r>
                </w:p>
                <w:p w:rsidR="00FB66B8" w:rsidRDefault="00FB66B8" w:rsidP="00DD3339">
                  <w:pPr>
                    <w:pStyle w:val="ListParagraph"/>
                    <w:numPr>
                      <w:ilvl w:val="0"/>
                      <w:numId w:val="19"/>
                    </w:numPr>
                    <w:jc w:val="both"/>
                  </w:pPr>
                  <w:r>
                    <w:t>Make recommendations on the development of resourcing of community participation strategies (including special interest group consultations, community meetings and consumer surveys)</w:t>
                  </w:r>
                </w:p>
                <w:p w:rsidR="00FB66B8" w:rsidRDefault="00FB66B8" w:rsidP="001C5751">
                  <w:pPr>
                    <w:pStyle w:val="ListParagraph"/>
                    <w:numPr>
                      <w:ilvl w:val="0"/>
                      <w:numId w:val="19"/>
                    </w:numPr>
                    <w:jc w:val="both"/>
                  </w:pPr>
                  <w:r>
                    <w:t xml:space="preserve">Assist in the information flow to and from the community about the health service. </w:t>
                  </w:r>
                </w:p>
                <w:p w:rsidR="00FB66B8" w:rsidRDefault="00FB66B8" w:rsidP="001C5751">
                  <w:pPr>
                    <w:pStyle w:val="ListParagraph"/>
                    <w:numPr>
                      <w:ilvl w:val="0"/>
                      <w:numId w:val="19"/>
                    </w:numPr>
                    <w:jc w:val="both"/>
                  </w:pPr>
                  <w:r>
                    <w:t>Identify the health needs of the community</w:t>
                  </w:r>
                </w:p>
                <w:p w:rsidR="00FB66B8" w:rsidRDefault="00FB66B8" w:rsidP="001C5751">
                  <w:pPr>
                    <w:pStyle w:val="ListParagraph"/>
                    <w:numPr>
                      <w:ilvl w:val="0"/>
                      <w:numId w:val="19"/>
                    </w:numPr>
                    <w:jc w:val="both"/>
                  </w:pPr>
                  <w:r>
                    <w:t>Be involved in planning services, policy development and health service priorities.</w:t>
                  </w:r>
                </w:p>
                <w:p w:rsidR="00FB66B8" w:rsidRDefault="00FB66B8" w:rsidP="001C5751">
                  <w:pPr>
                    <w:pStyle w:val="ListParagraph"/>
                    <w:numPr>
                      <w:ilvl w:val="0"/>
                      <w:numId w:val="19"/>
                    </w:numPr>
                    <w:jc w:val="both"/>
                  </w:pPr>
                  <w:r>
                    <w:t>Raise with HDHS any community concerns and complaints and oversee the response and resolution of these matters (Conflict Resolution Plan?)</w:t>
                  </w:r>
                </w:p>
                <w:p w:rsidR="00FB66B8" w:rsidRDefault="00FB66B8" w:rsidP="001C5751">
                  <w:pPr>
                    <w:pStyle w:val="ListParagraph"/>
                    <w:ind w:left="1080"/>
                    <w:jc w:val="both"/>
                  </w:pPr>
                </w:p>
                <w:p w:rsidR="00FB66B8" w:rsidRPr="001C5751" w:rsidRDefault="00FB66B8" w:rsidP="001C5751">
                  <w:pPr>
                    <w:pStyle w:val="ListParagraph"/>
                    <w:numPr>
                      <w:ilvl w:val="0"/>
                      <w:numId w:val="18"/>
                    </w:numPr>
                    <w:jc w:val="both"/>
                    <w:rPr>
                      <w:b/>
                    </w:rPr>
                  </w:pPr>
                  <w:r w:rsidRPr="001C5751">
                    <w:rPr>
                      <w:b/>
                    </w:rPr>
                    <w:t>Liaise with the community groups and individuals</w:t>
                  </w:r>
                </w:p>
                <w:p w:rsidR="00FB66B8" w:rsidRDefault="00FB66B8" w:rsidP="00E23CD3">
                  <w:pPr>
                    <w:pStyle w:val="ListParagraph"/>
                    <w:numPr>
                      <w:ilvl w:val="0"/>
                      <w:numId w:val="3"/>
                    </w:numPr>
                    <w:jc w:val="both"/>
                  </w:pPr>
                  <w:r>
                    <w:t>Assistance in the promotion of the health service in providing a continuum of care to the Hawkesbury community with a focus on wellness</w:t>
                  </w:r>
                </w:p>
                <w:p w:rsidR="00FB66B8" w:rsidRDefault="00FB66B8" w:rsidP="00E23CD3">
                  <w:pPr>
                    <w:pStyle w:val="ListParagraph"/>
                    <w:numPr>
                      <w:ilvl w:val="0"/>
                      <w:numId w:val="3"/>
                    </w:numPr>
                    <w:jc w:val="both"/>
                  </w:pPr>
                  <w:r>
                    <w:t xml:space="preserve">individuals </w:t>
                  </w:r>
                </w:p>
                <w:p w:rsidR="00FB66B8" w:rsidRDefault="00FB66B8" w:rsidP="00E23CD3">
                  <w:pPr>
                    <w:pStyle w:val="ListParagraph"/>
                    <w:numPr>
                      <w:ilvl w:val="0"/>
                      <w:numId w:val="3"/>
                    </w:numPr>
                    <w:jc w:val="both"/>
                  </w:pPr>
                  <w:r>
                    <w:t>Encourage and support volunteers</w:t>
                  </w:r>
                </w:p>
                <w:p w:rsidR="00FB66B8" w:rsidRDefault="00FB66B8" w:rsidP="00E23CD3">
                  <w:pPr>
                    <w:pStyle w:val="ListParagraph"/>
                    <w:numPr>
                      <w:ilvl w:val="0"/>
                      <w:numId w:val="3"/>
                    </w:numPr>
                    <w:jc w:val="both"/>
                  </w:pPr>
                  <w:r>
                    <w:t>Liaise with the medical staff council</w:t>
                  </w:r>
                </w:p>
                <w:p w:rsidR="00FB66B8" w:rsidRDefault="00FB66B8" w:rsidP="00E23CD3">
                  <w:pPr>
                    <w:pStyle w:val="ListParagraph"/>
                    <w:numPr>
                      <w:ilvl w:val="0"/>
                      <w:numId w:val="3"/>
                    </w:numPr>
                    <w:jc w:val="both"/>
                  </w:pPr>
                  <w:r>
                    <w:t xml:space="preserve">Monitor the quality and standards of the health service </w:t>
                  </w:r>
                </w:p>
                <w:p w:rsidR="00FB66B8" w:rsidRDefault="00FB66B8" w:rsidP="00E23CD3">
                  <w:pPr>
                    <w:pStyle w:val="ListParagraph"/>
                    <w:numPr>
                      <w:ilvl w:val="0"/>
                      <w:numId w:val="3"/>
                    </w:numPr>
                    <w:jc w:val="both"/>
                  </w:pPr>
                  <w:r>
                    <w:t>Promote the health needs of the Hawkesbury district to funding authorities (including Bendigo Bank, LHN and NSW Department of Health?)</w:t>
                  </w:r>
                </w:p>
                <w:p w:rsidR="00FB66B8" w:rsidRDefault="00FB66B8" w:rsidP="00E23CD3">
                  <w:pPr>
                    <w:pStyle w:val="ListParagraph"/>
                    <w:numPr>
                      <w:ilvl w:val="0"/>
                      <w:numId w:val="3"/>
                    </w:numPr>
                    <w:jc w:val="both"/>
                  </w:pPr>
                  <w:r>
                    <w:t>Promote and maintain good relations between HDHS and Governments, Government instrumentalities, institutions, the professions and the community in general</w:t>
                  </w:r>
                </w:p>
                <w:p w:rsidR="00FB66B8" w:rsidRDefault="00FB66B8" w:rsidP="00E23CD3">
                  <w:pPr>
                    <w:pStyle w:val="ListParagraph"/>
                    <w:numPr>
                      <w:ilvl w:val="0"/>
                      <w:numId w:val="3"/>
                    </w:numPr>
                    <w:jc w:val="both"/>
                  </w:pPr>
                  <w:r>
                    <w:t xml:space="preserve">Provide board members to act as members of quality of service provision, planning and any other committee/forum </w:t>
                  </w:r>
                </w:p>
                <w:p w:rsidR="00FB66B8" w:rsidRDefault="00FB66B8" w:rsidP="00E23CD3">
                  <w:pPr>
                    <w:pStyle w:val="ListParagraph"/>
                    <w:numPr>
                      <w:ilvl w:val="0"/>
                      <w:numId w:val="3"/>
                    </w:numPr>
                    <w:jc w:val="both"/>
                  </w:pPr>
                  <w:r>
                    <w:t>Provide an annual report to HDHS for dissemination to the community on the activities and details of community consultation</w:t>
                  </w:r>
                </w:p>
                <w:p w:rsidR="00FB66B8" w:rsidRDefault="00FB66B8" w:rsidP="00E23CD3">
                  <w:pPr>
                    <w:pStyle w:val="ListParagraph"/>
                    <w:numPr>
                      <w:ilvl w:val="0"/>
                      <w:numId w:val="3"/>
                    </w:numPr>
                    <w:jc w:val="both"/>
                  </w:pPr>
                  <w:r>
                    <w:t>Devise and carry out a self-evaluation process each year</w:t>
                  </w:r>
                </w:p>
                <w:p w:rsidR="00FB66B8" w:rsidRDefault="00FB66B8" w:rsidP="00E23CD3"/>
                <w:p w:rsidR="00FB66B8" w:rsidRDefault="00FB66B8" w:rsidP="00E23CD3"/>
              </w:txbxContent>
            </v:textbox>
          </v:shape>
        </w:pict>
      </w:r>
    </w:p>
    <w:p w:rsidR="00E23CD3" w:rsidRDefault="00E23CD3" w:rsidP="00E23CD3"/>
    <w:p w:rsidR="004D13A0" w:rsidRDefault="004D13A0" w:rsidP="004D13A0">
      <w:r>
        <w:t xml:space="preserve"> </w:t>
      </w:r>
    </w:p>
    <w:p w:rsidR="00A73795" w:rsidRDefault="004D13A0" w:rsidP="004D13A0">
      <w:r>
        <w:t xml:space="preserve"> </w:t>
      </w:r>
      <w:r>
        <w:cr/>
      </w:r>
    </w:p>
    <w:p w:rsidR="00E23CD3" w:rsidRDefault="00E23CD3" w:rsidP="004D13A0"/>
    <w:p w:rsidR="00E23CD3" w:rsidRDefault="00E23CD3" w:rsidP="004D13A0"/>
    <w:p w:rsidR="00E23CD3" w:rsidRDefault="00E23CD3" w:rsidP="004D13A0"/>
    <w:p w:rsidR="00E23CD3" w:rsidRDefault="00E23CD3" w:rsidP="004D13A0"/>
    <w:p w:rsidR="00E23CD3" w:rsidRDefault="00E23CD3" w:rsidP="004D13A0"/>
    <w:p w:rsidR="00E23CD3" w:rsidRDefault="00E23CD3" w:rsidP="004D13A0"/>
    <w:p w:rsidR="00E23CD3" w:rsidRDefault="00E23CD3" w:rsidP="004D13A0"/>
    <w:p w:rsidR="00E23CD3" w:rsidRDefault="00E23CD3" w:rsidP="004D13A0"/>
    <w:p w:rsidR="00AB6C6A" w:rsidRDefault="00AB6C6A" w:rsidP="00E23CD3">
      <w:pPr>
        <w:jc w:val="center"/>
        <w:rPr>
          <w:sz w:val="40"/>
          <w:szCs w:val="40"/>
        </w:rPr>
      </w:pPr>
    </w:p>
    <w:p w:rsidR="005C5C78" w:rsidRDefault="005C5C78" w:rsidP="00E23CD3">
      <w:pPr>
        <w:jc w:val="center"/>
        <w:rPr>
          <w:sz w:val="40"/>
          <w:szCs w:val="40"/>
        </w:rPr>
      </w:pPr>
      <w:proofErr w:type="spellStart"/>
      <w:r>
        <w:rPr>
          <w:sz w:val="40"/>
          <w:szCs w:val="40"/>
        </w:rPr>
        <w:t>Apprendix</w:t>
      </w:r>
      <w:proofErr w:type="spellEnd"/>
      <w:r>
        <w:rPr>
          <w:sz w:val="40"/>
          <w:szCs w:val="40"/>
        </w:rPr>
        <w:t xml:space="preserve"> 2</w:t>
      </w:r>
    </w:p>
    <w:p w:rsidR="00E061D9" w:rsidRDefault="00E061D9" w:rsidP="005C5C78">
      <w:pPr>
        <w:jc w:val="center"/>
        <w:rPr>
          <w:sz w:val="40"/>
          <w:szCs w:val="40"/>
        </w:rPr>
      </w:pPr>
    </w:p>
    <w:p w:rsidR="00E061D9" w:rsidRDefault="00E061D9" w:rsidP="005C5C78">
      <w:pPr>
        <w:jc w:val="center"/>
        <w:rPr>
          <w:sz w:val="40"/>
          <w:szCs w:val="40"/>
        </w:rPr>
      </w:pPr>
    </w:p>
    <w:p w:rsidR="00E061D9" w:rsidRDefault="00E061D9" w:rsidP="005C5C78">
      <w:pPr>
        <w:jc w:val="center"/>
        <w:rPr>
          <w:sz w:val="40"/>
          <w:szCs w:val="40"/>
        </w:rPr>
      </w:pPr>
    </w:p>
    <w:p w:rsidR="00E061D9" w:rsidRDefault="00E061D9" w:rsidP="005C5C78">
      <w:pPr>
        <w:jc w:val="center"/>
        <w:rPr>
          <w:sz w:val="40"/>
          <w:szCs w:val="40"/>
        </w:rPr>
      </w:pPr>
    </w:p>
    <w:p w:rsidR="00E061D9" w:rsidRDefault="00E061D9" w:rsidP="005C5C78">
      <w:pPr>
        <w:jc w:val="center"/>
        <w:rPr>
          <w:sz w:val="40"/>
          <w:szCs w:val="40"/>
        </w:rPr>
      </w:pPr>
    </w:p>
    <w:p w:rsidR="00E061D9" w:rsidRDefault="00E061D9" w:rsidP="005C5C78">
      <w:pPr>
        <w:jc w:val="center"/>
        <w:rPr>
          <w:sz w:val="40"/>
          <w:szCs w:val="40"/>
        </w:rPr>
      </w:pPr>
    </w:p>
    <w:p w:rsidR="00E061D9" w:rsidRDefault="00E061D9" w:rsidP="005C5C78">
      <w:pPr>
        <w:jc w:val="center"/>
        <w:rPr>
          <w:sz w:val="40"/>
          <w:szCs w:val="40"/>
        </w:rPr>
      </w:pPr>
    </w:p>
    <w:p w:rsidR="005C5C78" w:rsidRDefault="005C5C78" w:rsidP="005C5C78">
      <w:pPr>
        <w:jc w:val="center"/>
        <w:rPr>
          <w:sz w:val="40"/>
          <w:szCs w:val="40"/>
        </w:rPr>
      </w:pPr>
      <w:r>
        <w:rPr>
          <w:sz w:val="40"/>
          <w:szCs w:val="40"/>
        </w:rPr>
        <w:lastRenderedPageBreak/>
        <w:t xml:space="preserve">Appendix 2: </w:t>
      </w:r>
      <w:r w:rsidRPr="000E6103">
        <w:rPr>
          <w:sz w:val="40"/>
          <w:szCs w:val="40"/>
        </w:rPr>
        <w:t>The Community Participation Policy from article 4.1 of the CBOA Constitution</w:t>
      </w:r>
    </w:p>
    <w:p w:rsidR="005C5C78" w:rsidRDefault="002F4044" w:rsidP="005C5C78">
      <w:pPr>
        <w:jc w:val="center"/>
        <w:rPr>
          <w:sz w:val="40"/>
          <w:szCs w:val="40"/>
        </w:rPr>
      </w:pPr>
      <w:r>
        <w:rPr>
          <w:noProof/>
          <w:sz w:val="40"/>
          <w:szCs w:val="40"/>
          <w:lang w:eastAsia="en-AU"/>
        </w:rPr>
        <w:pict>
          <v:shape id="_x0000_s1037" type="#_x0000_t202" style="position:absolute;left:0;text-align:left;margin-left:19.5pt;margin-top:1.75pt;width:412.3pt;height:210.55pt;z-index:251670528;mso-width-relative:margin;mso-height-relative:margin">
            <v:textbox style="mso-next-textbox:#_x0000_s1037">
              <w:txbxContent>
                <w:p w:rsidR="00FB66B8" w:rsidRDefault="00FB66B8" w:rsidP="005C5C78">
                  <w:pPr>
                    <w:pStyle w:val="ListParagraph"/>
                    <w:numPr>
                      <w:ilvl w:val="0"/>
                      <w:numId w:val="8"/>
                    </w:numPr>
                    <w:jc w:val="both"/>
                  </w:pPr>
                  <w:r>
                    <w:t>Be accountable to the individual consumer and the community that the HDHS serves.</w:t>
                  </w:r>
                </w:p>
                <w:p w:rsidR="00FB66B8" w:rsidRDefault="00FB66B8" w:rsidP="005C5C78">
                  <w:pPr>
                    <w:pStyle w:val="ListParagraph"/>
                    <w:numPr>
                      <w:ilvl w:val="0"/>
                      <w:numId w:val="8"/>
                    </w:numPr>
                    <w:jc w:val="both"/>
                  </w:pPr>
                  <w:r>
                    <w:t>Improve effectiveness of service planning and delivery through focusing on consumer needs</w:t>
                  </w:r>
                </w:p>
                <w:p w:rsidR="00FB66B8" w:rsidRDefault="00FB66B8" w:rsidP="005C5C78">
                  <w:pPr>
                    <w:pStyle w:val="ListParagraph"/>
                    <w:numPr>
                      <w:ilvl w:val="0"/>
                      <w:numId w:val="8"/>
                    </w:numPr>
                    <w:jc w:val="both"/>
                  </w:pPr>
                  <w:r>
                    <w:t>Ensure customer involvement in the quality improvement processes</w:t>
                  </w:r>
                </w:p>
                <w:p w:rsidR="00FB66B8" w:rsidRDefault="00FB66B8" w:rsidP="005C5C78">
                  <w:pPr>
                    <w:pStyle w:val="ListParagraph"/>
                    <w:numPr>
                      <w:ilvl w:val="0"/>
                      <w:numId w:val="8"/>
                    </w:numPr>
                    <w:jc w:val="both"/>
                  </w:pPr>
                  <w:r>
                    <w:t xml:space="preserve">Provide opportunities for the community to contribute to and gain a sense of ownership of the health service </w:t>
                  </w:r>
                </w:p>
                <w:p w:rsidR="00FB66B8" w:rsidRDefault="00FB66B8" w:rsidP="005C5C78">
                  <w:pPr>
                    <w:pStyle w:val="ListParagraph"/>
                    <w:numPr>
                      <w:ilvl w:val="0"/>
                      <w:numId w:val="8"/>
                    </w:numPr>
                    <w:jc w:val="both"/>
                  </w:pPr>
                  <w:r>
                    <w:t>Assist health service in determining service priorities and</w:t>
                  </w:r>
                </w:p>
                <w:p w:rsidR="00FB66B8" w:rsidRDefault="00FB66B8" w:rsidP="005C5C78">
                  <w:pPr>
                    <w:pStyle w:val="ListParagraph"/>
                    <w:numPr>
                      <w:ilvl w:val="0"/>
                      <w:numId w:val="8"/>
                    </w:numPr>
                    <w:jc w:val="both"/>
                  </w:pPr>
                  <w:r>
                    <w:t>Promote the ability of individuals and the community to improve health</w:t>
                  </w:r>
                </w:p>
                <w:p w:rsidR="00FB66B8" w:rsidRDefault="00FB66B8" w:rsidP="005C5C78">
                  <w:pPr>
                    <w:pStyle w:val="ListParagraph"/>
                    <w:numPr>
                      <w:ilvl w:val="0"/>
                      <w:numId w:val="8"/>
                    </w:numPr>
                    <w:jc w:val="both"/>
                  </w:pPr>
                  <w:r>
                    <w:t>Finally the community participation policy ensures that the board will assist the Health Service in determining service priorities and promote the ability of individuals and the community improve health. Nothing in the policy talks about cultural competence</w:t>
                  </w:r>
                </w:p>
                <w:p w:rsidR="00FB66B8" w:rsidRDefault="00FB66B8" w:rsidP="005C5C78"/>
              </w:txbxContent>
            </v:textbox>
          </v:shape>
        </w:pict>
      </w:r>
    </w:p>
    <w:p w:rsidR="005C5C78" w:rsidRDefault="005C5C78" w:rsidP="00E23CD3">
      <w:pPr>
        <w:jc w:val="center"/>
        <w:rPr>
          <w:sz w:val="40"/>
          <w:szCs w:val="40"/>
        </w:rPr>
      </w:pPr>
    </w:p>
    <w:p w:rsidR="005C5C78" w:rsidRDefault="005C5C78" w:rsidP="00E23CD3">
      <w:pPr>
        <w:jc w:val="center"/>
        <w:rPr>
          <w:sz w:val="40"/>
          <w:szCs w:val="40"/>
        </w:rPr>
      </w:pPr>
    </w:p>
    <w:p w:rsidR="005C5C78" w:rsidRDefault="005C5C78" w:rsidP="00E23CD3">
      <w:pPr>
        <w:jc w:val="center"/>
        <w:rPr>
          <w:sz w:val="40"/>
          <w:szCs w:val="40"/>
        </w:rPr>
      </w:pPr>
    </w:p>
    <w:p w:rsidR="00AB6C6A" w:rsidRDefault="00AB6C6A" w:rsidP="00E23CD3">
      <w:pPr>
        <w:jc w:val="center"/>
        <w:rPr>
          <w:sz w:val="40"/>
          <w:szCs w:val="40"/>
        </w:rPr>
      </w:pPr>
      <w:r>
        <w:rPr>
          <w:sz w:val="40"/>
          <w:szCs w:val="40"/>
        </w:rPr>
        <w:t>Appendix 3: Gaps Found in HDHS</w:t>
      </w:r>
    </w:p>
    <w:p w:rsidR="005C5C78" w:rsidRDefault="005C5C78" w:rsidP="00E23CD3">
      <w:pPr>
        <w:jc w:val="center"/>
        <w:rPr>
          <w:sz w:val="40"/>
          <w:szCs w:val="40"/>
        </w:rPr>
      </w:pPr>
      <w:r>
        <w:rPr>
          <w:sz w:val="40"/>
          <w:szCs w:val="40"/>
        </w:rPr>
        <w:t xml:space="preserve">Appendix 3: Themes in CBOA </w:t>
      </w:r>
      <w:r w:rsidR="00AA0CE7">
        <w:rPr>
          <w:sz w:val="40"/>
          <w:szCs w:val="40"/>
        </w:rPr>
        <w:t>Report: Access and Communication</w:t>
      </w:r>
    </w:p>
    <w:p w:rsidR="00AB6C6A" w:rsidRDefault="002F4044" w:rsidP="00E23CD3">
      <w:pPr>
        <w:jc w:val="center"/>
        <w:rPr>
          <w:sz w:val="40"/>
          <w:szCs w:val="40"/>
        </w:rPr>
      </w:pPr>
      <w:r w:rsidRPr="002F4044">
        <w:rPr>
          <w:noProof/>
          <w:sz w:val="40"/>
          <w:szCs w:val="40"/>
          <w:lang w:val="en-US" w:eastAsia="zh-TW"/>
        </w:rPr>
        <w:pict>
          <v:shape id="_x0000_s1034" type="#_x0000_t202" style="position:absolute;left:0;text-align:left;margin-left:-27.4pt;margin-top:6pt;width:502.45pt;height:275.2pt;z-index:251669504;mso-width-relative:margin;mso-height-relative:margin">
            <v:textbox style="mso-next-textbox:#_x0000_s1034">
              <w:txbxContent>
                <w:p w:rsidR="00FB66B8" w:rsidRDefault="00FB66B8" w:rsidP="00AB6C6A">
                  <w:pPr>
                    <w:jc w:val="both"/>
                  </w:pPr>
                  <w:r>
                    <w:t>The themes identified by the CBOA report came in two major categories - access and communication. There were 13 gaps associated with access and 15 issues related to communication. A summary of them is provided below.</w:t>
                  </w:r>
                </w:p>
                <w:p w:rsidR="00FB66B8" w:rsidRPr="006C696A" w:rsidRDefault="00FB66B8" w:rsidP="00AB6C6A">
                  <w:pPr>
                    <w:pStyle w:val="ListParagraph"/>
                    <w:numPr>
                      <w:ilvl w:val="0"/>
                      <w:numId w:val="14"/>
                    </w:numPr>
                    <w:jc w:val="both"/>
                    <w:rPr>
                      <w:b/>
                    </w:rPr>
                  </w:pPr>
                  <w:r w:rsidRPr="006C696A">
                    <w:rPr>
                      <w:b/>
                    </w:rPr>
                    <w:t xml:space="preserve">Accessibility Gaps </w:t>
                  </w:r>
                </w:p>
                <w:p w:rsidR="00FB66B8" w:rsidRDefault="00FB66B8" w:rsidP="006C696A">
                  <w:pPr>
                    <w:pStyle w:val="ListParagraph"/>
                    <w:numPr>
                      <w:ilvl w:val="0"/>
                      <w:numId w:val="15"/>
                    </w:numPr>
                    <w:jc w:val="both"/>
                  </w:pPr>
                  <w:r>
                    <w:t>Transportation to HDHS services</w:t>
                  </w:r>
                </w:p>
                <w:p w:rsidR="00FB66B8" w:rsidRDefault="00FB66B8" w:rsidP="006C696A">
                  <w:pPr>
                    <w:pStyle w:val="ListParagraph"/>
                    <w:numPr>
                      <w:ilvl w:val="0"/>
                      <w:numId w:val="15"/>
                    </w:numPr>
                    <w:jc w:val="both"/>
                  </w:pPr>
                  <w:r>
                    <w:t>Waiting times for elective surgery</w:t>
                  </w:r>
                </w:p>
                <w:p w:rsidR="00FB66B8" w:rsidRDefault="00FB66B8" w:rsidP="006C696A">
                  <w:pPr>
                    <w:pStyle w:val="ListParagraph"/>
                    <w:numPr>
                      <w:ilvl w:val="0"/>
                      <w:numId w:val="15"/>
                    </w:numPr>
                    <w:jc w:val="both"/>
                  </w:pPr>
                  <w:r>
                    <w:t>Access to emergency, rehabilitation, cancer treatment and diagnostic testing services</w:t>
                  </w:r>
                </w:p>
                <w:p w:rsidR="00FB66B8" w:rsidRDefault="00FB66B8" w:rsidP="006C696A">
                  <w:pPr>
                    <w:pStyle w:val="ListParagraph"/>
                    <w:numPr>
                      <w:ilvl w:val="0"/>
                      <w:numId w:val="15"/>
                    </w:numPr>
                    <w:jc w:val="both"/>
                  </w:pPr>
                  <w:r>
                    <w:t>Limited respite care, disability, residential and mental health services</w:t>
                  </w:r>
                </w:p>
                <w:p w:rsidR="00FB66B8" w:rsidRDefault="00FB66B8" w:rsidP="006C696A">
                  <w:pPr>
                    <w:pStyle w:val="ListParagraph"/>
                    <w:numPr>
                      <w:ilvl w:val="0"/>
                      <w:numId w:val="15"/>
                    </w:numPr>
                    <w:jc w:val="both"/>
                  </w:pPr>
                  <w:r>
                    <w:t>Poor availability of dental and other allied health services</w:t>
                  </w:r>
                </w:p>
                <w:p w:rsidR="00FB66B8" w:rsidRDefault="00FB66B8" w:rsidP="006C696A">
                  <w:pPr>
                    <w:pStyle w:val="ListParagraph"/>
                    <w:numPr>
                      <w:ilvl w:val="0"/>
                      <w:numId w:val="15"/>
                    </w:numPr>
                    <w:jc w:val="both"/>
                  </w:pPr>
                  <w:r>
                    <w:t>The poor planning of services to enable the elderly and infirm to stay at home as long as possible</w:t>
                  </w:r>
                </w:p>
                <w:p w:rsidR="00FB66B8" w:rsidRDefault="00FB66B8" w:rsidP="006C696A">
                  <w:pPr>
                    <w:pStyle w:val="ListParagraph"/>
                    <w:jc w:val="both"/>
                  </w:pPr>
                  <w:r>
                    <w:t xml:space="preserve"> </w:t>
                  </w:r>
                </w:p>
                <w:p w:rsidR="00FB66B8" w:rsidRPr="006C696A" w:rsidRDefault="00FB66B8" w:rsidP="006C696A">
                  <w:pPr>
                    <w:pStyle w:val="ListParagraph"/>
                    <w:numPr>
                      <w:ilvl w:val="0"/>
                      <w:numId w:val="14"/>
                    </w:numPr>
                    <w:jc w:val="both"/>
                    <w:rPr>
                      <w:b/>
                    </w:rPr>
                  </w:pPr>
                  <w:r w:rsidRPr="006C696A">
                    <w:rPr>
                      <w:b/>
                    </w:rPr>
                    <w:t xml:space="preserve">Communication Gaps </w:t>
                  </w:r>
                </w:p>
                <w:p w:rsidR="00FB66B8" w:rsidRDefault="00FB66B8" w:rsidP="006C696A">
                  <w:pPr>
                    <w:pStyle w:val="ListParagraph"/>
                    <w:numPr>
                      <w:ilvl w:val="0"/>
                      <w:numId w:val="16"/>
                    </w:numPr>
                    <w:jc w:val="both"/>
                  </w:pPr>
                  <w:r>
                    <w:t>A lack of information of what the HDHS does and the services it does or does not provide</w:t>
                  </w:r>
                </w:p>
                <w:p w:rsidR="00FB66B8" w:rsidRDefault="00FB66B8" w:rsidP="006C696A">
                  <w:pPr>
                    <w:pStyle w:val="ListParagraph"/>
                    <w:numPr>
                      <w:ilvl w:val="0"/>
                      <w:numId w:val="16"/>
                    </w:numPr>
                    <w:jc w:val="both"/>
                  </w:pPr>
                  <w:r>
                    <w:t>A lack of community engagement by the hospital</w:t>
                  </w:r>
                </w:p>
                <w:p w:rsidR="00FB66B8" w:rsidRDefault="00FB66B8" w:rsidP="006C696A">
                  <w:pPr>
                    <w:pStyle w:val="ListParagraph"/>
                    <w:numPr>
                      <w:ilvl w:val="0"/>
                      <w:numId w:val="16"/>
                    </w:numPr>
                    <w:jc w:val="both"/>
                  </w:pPr>
                  <w:r>
                    <w:t xml:space="preserve">A lack of planning for road distances or conditions for ambulance services </w:t>
                  </w:r>
                </w:p>
                <w:p w:rsidR="00FB66B8" w:rsidRDefault="00FB66B8" w:rsidP="006C696A">
                  <w:pPr>
                    <w:pStyle w:val="ListParagraph"/>
                    <w:numPr>
                      <w:ilvl w:val="0"/>
                      <w:numId w:val="16"/>
                    </w:numPr>
                    <w:jc w:val="both"/>
                  </w:pPr>
                  <w:r>
                    <w:t xml:space="preserve">A need to build a culture of feedback with the community to the health services.  </w:t>
                  </w:r>
                </w:p>
              </w:txbxContent>
            </v:textbox>
          </v:shape>
        </w:pict>
      </w:r>
    </w:p>
    <w:p w:rsidR="00AB6C6A" w:rsidRDefault="00AB6C6A" w:rsidP="00E23CD3">
      <w:pPr>
        <w:jc w:val="center"/>
        <w:rPr>
          <w:sz w:val="40"/>
          <w:szCs w:val="40"/>
        </w:rPr>
      </w:pPr>
    </w:p>
    <w:p w:rsidR="00AB6C6A" w:rsidRDefault="00AB6C6A" w:rsidP="00E23CD3">
      <w:pPr>
        <w:jc w:val="center"/>
        <w:rPr>
          <w:sz w:val="40"/>
          <w:szCs w:val="40"/>
        </w:rPr>
      </w:pPr>
    </w:p>
    <w:p w:rsidR="00AB6C6A" w:rsidRDefault="00AB6C6A" w:rsidP="00E23CD3">
      <w:pPr>
        <w:jc w:val="center"/>
        <w:rPr>
          <w:sz w:val="40"/>
          <w:szCs w:val="40"/>
        </w:rPr>
      </w:pPr>
    </w:p>
    <w:p w:rsidR="00AB6C6A" w:rsidRDefault="00AB6C6A" w:rsidP="00E23CD3">
      <w:pPr>
        <w:jc w:val="center"/>
        <w:rPr>
          <w:sz w:val="40"/>
          <w:szCs w:val="40"/>
        </w:rPr>
      </w:pPr>
    </w:p>
    <w:p w:rsidR="00AB6C6A" w:rsidRDefault="00AB6C6A" w:rsidP="00E23CD3">
      <w:pPr>
        <w:jc w:val="center"/>
        <w:rPr>
          <w:sz w:val="40"/>
          <w:szCs w:val="40"/>
        </w:rPr>
      </w:pPr>
    </w:p>
    <w:p w:rsidR="00AB6C6A" w:rsidRDefault="00AB6C6A" w:rsidP="00E23CD3">
      <w:pPr>
        <w:jc w:val="center"/>
        <w:rPr>
          <w:sz w:val="40"/>
          <w:szCs w:val="40"/>
        </w:rPr>
      </w:pPr>
    </w:p>
    <w:p w:rsidR="006C696A" w:rsidRDefault="006C696A" w:rsidP="006C696A">
      <w:pPr>
        <w:rPr>
          <w:sz w:val="40"/>
          <w:szCs w:val="40"/>
        </w:rPr>
      </w:pPr>
    </w:p>
    <w:p w:rsidR="00D46360" w:rsidRDefault="00D46360"/>
    <w:p w:rsidR="00BD3BD5" w:rsidRDefault="005C5C78" w:rsidP="000F28D2">
      <w:pPr>
        <w:jc w:val="center"/>
        <w:rPr>
          <w:sz w:val="40"/>
          <w:szCs w:val="40"/>
        </w:rPr>
      </w:pPr>
      <w:r>
        <w:rPr>
          <w:sz w:val="40"/>
          <w:szCs w:val="40"/>
        </w:rPr>
        <w:lastRenderedPageBreak/>
        <w:t>Appendix 4</w:t>
      </w:r>
      <w:r w:rsidR="00E23CD3">
        <w:rPr>
          <w:sz w:val="40"/>
          <w:szCs w:val="40"/>
        </w:rPr>
        <w:t>: Outline of t</w:t>
      </w:r>
      <w:r w:rsidR="005706C3">
        <w:rPr>
          <w:sz w:val="40"/>
          <w:szCs w:val="40"/>
        </w:rPr>
        <w:t xml:space="preserve">he </w:t>
      </w:r>
      <w:r w:rsidR="00BD3BD5">
        <w:rPr>
          <w:sz w:val="40"/>
          <w:szCs w:val="40"/>
        </w:rPr>
        <w:t>Constitution of the Community Board of Advice</w:t>
      </w:r>
    </w:p>
    <w:p w:rsidR="00D46360" w:rsidRDefault="002F4044" w:rsidP="005706C3">
      <w:pPr>
        <w:jc w:val="both"/>
      </w:pPr>
      <w:r w:rsidRPr="002F4044">
        <w:rPr>
          <w:noProof/>
          <w:lang w:val="en-US" w:eastAsia="zh-TW"/>
        </w:rPr>
        <w:pict>
          <v:shape id="_x0000_s1029" type="#_x0000_t202" style="position:absolute;left:0;text-align:left;margin-left:103.3pt;margin-top:.35pt;width:286.45pt;height:247.5pt;z-index:251664384;mso-width-relative:margin;mso-height-relative:margin">
            <v:textbox style="mso-next-textbox:#_x0000_s1029">
              <w:txbxContent>
                <w:p w:rsidR="00FB66B8" w:rsidRDefault="00FB66B8" w:rsidP="00B00329">
                  <w:pPr>
                    <w:pStyle w:val="ListParagraph"/>
                    <w:numPr>
                      <w:ilvl w:val="0"/>
                      <w:numId w:val="10"/>
                    </w:numPr>
                  </w:pPr>
                  <w:r>
                    <w:t>Preamble</w:t>
                  </w:r>
                </w:p>
                <w:p w:rsidR="00FB66B8" w:rsidRDefault="00FB66B8" w:rsidP="00B00329">
                  <w:pPr>
                    <w:pStyle w:val="ListParagraph"/>
                    <w:numPr>
                      <w:ilvl w:val="0"/>
                      <w:numId w:val="10"/>
                    </w:numPr>
                  </w:pPr>
                  <w:r>
                    <w:t>Definitions</w:t>
                  </w:r>
                </w:p>
                <w:p w:rsidR="00FB66B8" w:rsidRDefault="00FB66B8" w:rsidP="00B00329">
                  <w:pPr>
                    <w:pStyle w:val="ListParagraph"/>
                    <w:numPr>
                      <w:ilvl w:val="0"/>
                      <w:numId w:val="10"/>
                    </w:numPr>
                  </w:pPr>
                  <w:r>
                    <w:t>Aims of the Community Participation Policy</w:t>
                  </w:r>
                </w:p>
                <w:p w:rsidR="00FB66B8" w:rsidRDefault="00FB66B8" w:rsidP="00B00329">
                  <w:pPr>
                    <w:pStyle w:val="ListParagraph"/>
                    <w:numPr>
                      <w:ilvl w:val="0"/>
                      <w:numId w:val="10"/>
                    </w:numPr>
                  </w:pPr>
                  <w:r>
                    <w:t>Role of the Board</w:t>
                  </w:r>
                </w:p>
                <w:p w:rsidR="00FB66B8" w:rsidRDefault="00FB66B8" w:rsidP="00B00329">
                  <w:pPr>
                    <w:pStyle w:val="ListParagraph"/>
                    <w:numPr>
                      <w:ilvl w:val="0"/>
                      <w:numId w:val="10"/>
                    </w:numPr>
                  </w:pPr>
                  <w:r>
                    <w:t>Membership of Board of Advice</w:t>
                  </w:r>
                </w:p>
                <w:p w:rsidR="00FB66B8" w:rsidRDefault="00FB66B8" w:rsidP="00B00329">
                  <w:pPr>
                    <w:pStyle w:val="ListParagraph"/>
                    <w:numPr>
                      <w:ilvl w:val="0"/>
                      <w:numId w:val="10"/>
                    </w:numPr>
                  </w:pPr>
                  <w:r>
                    <w:t>Method of Appointment of Board Members</w:t>
                  </w:r>
                </w:p>
                <w:p w:rsidR="00FB66B8" w:rsidRDefault="00FB66B8" w:rsidP="00B00329">
                  <w:pPr>
                    <w:pStyle w:val="ListParagraph"/>
                    <w:numPr>
                      <w:ilvl w:val="0"/>
                      <w:numId w:val="10"/>
                    </w:numPr>
                  </w:pPr>
                  <w:r>
                    <w:t>Terms of Appointment of Board Members</w:t>
                  </w:r>
                </w:p>
                <w:p w:rsidR="00FB66B8" w:rsidRDefault="00FB66B8" w:rsidP="00B00329">
                  <w:pPr>
                    <w:pStyle w:val="ListParagraph"/>
                    <w:numPr>
                      <w:ilvl w:val="0"/>
                      <w:numId w:val="10"/>
                    </w:numPr>
                  </w:pPr>
                  <w:r>
                    <w:t>Termination of Appointment</w:t>
                  </w:r>
                </w:p>
                <w:p w:rsidR="00FB66B8" w:rsidRDefault="00FB66B8" w:rsidP="00B00329">
                  <w:pPr>
                    <w:pStyle w:val="ListParagraph"/>
                    <w:numPr>
                      <w:ilvl w:val="0"/>
                      <w:numId w:val="10"/>
                    </w:numPr>
                  </w:pPr>
                  <w:r>
                    <w:t>Appointment Process, Orientation, Election Process of the Chair and Deputy Chair</w:t>
                  </w:r>
                </w:p>
                <w:p w:rsidR="00FB66B8" w:rsidRDefault="00FB66B8" w:rsidP="00B00329">
                  <w:pPr>
                    <w:pStyle w:val="ListParagraph"/>
                    <w:numPr>
                      <w:ilvl w:val="0"/>
                      <w:numId w:val="10"/>
                    </w:numPr>
                  </w:pPr>
                  <w:r>
                    <w:t>The Responsibilities of the Chair and Deputy Chair</w:t>
                  </w:r>
                </w:p>
                <w:p w:rsidR="00FB66B8" w:rsidRDefault="00FB66B8" w:rsidP="00B00329">
                  <w:pPr>
                    <w:pStyle w:val="ListParagraph"/>
                    <w:numPr>
                      <w:ilvl w:val="0"/>
                      <w:numId w:val="10"/>
                    </w:numPr>
                  </w:pPr>
                  <w:r>
                    <w:t>Orientation of New Members</w:t>
                  </w:r>
                </w:p>
                <w:p w:rsidR="00FB66B8" w:rsidRDefault="00FB66B8" w:rsidP="00B00329">
                  <w:pPr>
                    <w:pStyle w:val="ListParagraph"/>
                    <w:numPr>
                      <w:ilvl w:val="0"/>
                      <w:numId w:val="10"/>
                    </w:numPr>
                  </w:pPr>
                  <w:r>
                    <w:t>Proceedings of the Board of Advice</w:t>
                  </w:r>
                </w:p>
                <w:p w:rsidR="00FB66B8" w:rsidRDefault="00FB66B8" w:rsidP="00B00329">
                  <w:pPr>
                    <w:pStyle w:val="ListParagraph"/>
                    <w:numPr>
                      <w:ilvl w:val="0"/>
                      <w:numId w:val="10"/>
                    </w:numPr>
                  </w:pPr>
                  <w:r>
                    <w:t>Confidentiality and Indemnity</w:t>
                  </w:r>
                </w:p>
                <w:p w:rsidR="00FB66B8" w:rsidRDefault="00FB66B8" w:rsidP="00B00329">
                  <w:pPr>
                    <w:pStyle w:val="ListParagraph"/>
                    <w:numPr>
                      <w:ilvl w:val="0"/>
                      <w:numId w:val="10"/>
                    </w:numPr>
                  </w:pPr>
                  <w:r>
                    <w:t>Reimbursement of Expenses</w:t>
                  </w:r>
                </w:p>
              </w:txbxContent>
            </v:textbox>
          </v:shape>
        </w:pict>
      </w:r>
    </w:p>
    <w:p w:rsidR="00D46360" w:rsidRDefault="00D46360" w:rsidP="005706C3">
      <w:pPr>
        <w:jc w:val="both"/>
      </w:pPr>
    </w:p>
    <w:p w:rsidR="00D46360" w:rsidRDefault="00D46360" w:rsidP="005706C3">
      <w:pPr>
        <w:jc w:val="both"/>
      </w:pPr>
    </w:p>
    <w:p w:rsidR="005706C3" w:rsidRDefault="005706C3" w:rsidP="005706C3">
      <w:pPr>
        <w:jc w:val="both"/>
      </w:pPr>
    </w:p>
    <w:p w:rsidR="005706C3" w:rsidRDefault="005706C3" w:rsidP="005706C3">
      <w:pPr>
        <w:jc w:val="both"/>
      </w:pPr>
    </w:p>
    <w:p w:rsidR="005706C3" w:rsidRDefault="005706C3" w:rsidP="005706C3">
      <w:pPr>
        <w:jc w:val="both"/>
      </w:pPr>
    </w:p>
    <w:p w:rsidR="005706C3" w:rsidRDefault="005706C3" w:rsidP="005706C3">
      <w:pPr>
        <w:jc w:val="both"/>
      </w:pPr>
    </w:p>
    <w:p w:rsidR="00A0211B" w:rsidRDefault="00A0211B" w:rsidP="005706C3">
      <w:pPr>
        <w:jc w:val="both"/>
      </w:pPr>
    </w:p>
    <w:p w:rsidR="000836FF" w:rsidRDefault="00285251" w:rsidP="005706C3">
      <w:pPr>
        <w:jc w:val="both"/>
      </w:pPr>
      <w:r>
        <w:tab/>
      </w:r>
      <w:r>
        <w:tab/>
      </w:r>
      <w:r>
        <w:tab/>
      </w:r>
      <w:r>
        <w:tab/>
      </w:r>
    </w:p>
    <w:sectPr w:rsidR="000836FF" w:rsidSect="00A73795">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F0" w:rsidRDefault="007D7DF0" w:rsidP="00964C5A">
      <w:pPr>
        <w:spacing w:after="0" w:line="240" w:lineRule="auto"/>
      </w:pPr>
      <w:r>
        <w:separator/>
      </w:r>
    </w:p>
  </w:endnote>
  <w:endnote w:type="continuationSeparator" w:id="0">
    <w:p w:rsidR="007D7DF0" w:rsidRDefault="007D7DF0" w:rsidP="00964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98282"/>
      <w:docPartObj>
        <w:docPartGallery w:val="Page Numbers (Bottom of Page)"/>
        <w:docPartUnique/>
      </w:docPartObj>
    </w:sdtPr>
    <w:sdtContent>
      <w:p w:rsidR="00FB66B8" w:rsidRDefault="002F4044">
        <w:pPr>
          <w:pStyle w:val="Footer"/>
          <w:jc w:val="right"/>
        </w:pPr>
        <w:fldSimple w:instr=" PAGE   \* MERGEFORMAT ">
          <w:r w:rsidR="00F04C53">
            <w:rPr>
              <w:noProof/>
            </w:rPr>
            <w:t>1</w:t>
          </w:r>
        </w:fldSimple>
      </w:p>
    </w:sdtContent>
  </w:sdt>
  <w:p w:rsidR="00FB66B8" w:rsidRDefault="00FB6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F0" w:rsidRDefault="007D7DF0" w:rsidP="00964C5A">
      <w:pPr>
        <w:spacing w:after="0" w:line="240" w:lineRule="auto"/>
      </w:pPr>
      <w:r>
        <w:separator/>
      </w:r>
    </w:p>
  </w:footnote>
  <w:footnote w:type="continuationSeparator" w:id="0">
    <w:p w:rsidR="007D7DF0" w:rsidRDefault="007D7DF0" w:rsidP="00964C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1E4"/>
    <w:multiLevelType w:val="multilevel"/>
    <w:tmpl w:val="8670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35C5"/>
    <w:multiLevelType w:val="hybridMultilevel"/>
    <w:tmpl w:val="95AA2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A93F46"/>
    <w:multiLevelType w:val="hybridMultilevel"/>
    <w:tmpl w:val="DEFE4472"/>
    <w:lvl w:ilvl="0" w:tplc="EBC0C0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C14BD3"/>
    <w:multiLevelType w:val="hybridMultilevel"/>
    <w:tmpl w:val="44D2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BF3D48"/>
    <w:multiLevelType w:val="hybridMultilevel"/>
    <w:tmpl w:val="9712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22086F"/>
    <w:multiLevelType w:val="hybridMultilevel"/>
    <w:tmpl w:val="2D66FB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CB21ABA"/>
    <w:multiLevelType w:val="hybridMultilevel"/>
    <w:tmpl w:val="351018E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7">
    <w:nsid w:val="1EF12975"/>
    <w:multiLevelType w:val="hybridMultilevel"/>
    <w:tmpl w:val="8BE67A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5E0685"/>
    <w:multiLevelType w:val="multilevel"/>
    <w:tmpl w:val="7EB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53019"/>
    <w:multiLevelType w:val="hybridMultilevel"/>
    <w:tmpl w:val="E94A7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3473B0"/>
    <w:multiLevelType w:val="hybridMultilevel"/>
    <w:tmpl w:val="2D208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097658"/>
    <w:multiLevelType w:val="multilevel"/>
    <w:tmpl w:val="CF7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555F1"/>
    <w:multiLevelType w:val="hybridMultilevel"/>
    <w:tmpl w:val="9820993A"/>
    <w:lvl w:ilvl="0" w:tplc="825A26DC">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0EA0C16"/>
    <w:multiLevelType w:val="multilevel"/>
    <w:tmpl w:val="CFA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22A79"/>
    <w:multiLevelType w:val="hybridMultilevel"/>
    <w:tmpl w:val="54A46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D85DE7"/>
    <w:multiLevelType w:val="hybridMultilevel"/>
    <w:tmpl w:val="D2860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D69721D"/>
    <w:multiLevelType w:val="hybridMultilevel"/>
    <w:tmpl w:val="3AF88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E74BA1"/>
    <w:multiLevelType w:val="hybridMultilevel"/>
    <w:tmpl w:val="DFF0A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7B0360"/>
    <w:multiLevelType w:val="hybridMultilevel"/>
    <w:tmpl w:val="6C72E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B75719"/>
    <w:multiLevelType w:val="hybridMultilevel"/>
    <w:tmpl w:val="304AD8C0"/>
    <w:lvl w:ilvl="0" w:tplc="B53C74F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4D6228F"/>
    <w:multiLevelType w:val="hybridMultilevel"/>
    <w:tmpl w:val="41248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8"/>
  </w:num>
  <w:num w:numId="5">
    <w:abstractNumId w:val="11"/>
  </w:num>
  <w:num w:numId="6">
    <w:abstractNumId w:val="0"/>
  </w:num>
  <w:num w:numId="7">
    <w:abstractNumId w:val="4"/>
  </w:num>
  <w:num w:numId="8">
    <w:abstractNumId w:val="19"/>
  </w:num>
  <w:num w:numId="9">
    <w:abstractNumId w:val="2"/>
  </w:num>
  <w:num w:numId="10">
    <w:abstractNumId w:val="9"/>
  </w:num>
  <w:num w:numId="11">
    <w:abstractNumId w:val="12"/>
  </w:num>
  <w:num w:numId="12">
    <w:abstractNumId w:val="13"/>
  </w:num>
  <w:num w:numId="13">
    <w:abstractNumId w:val="1"/>
  </w:num>
  <w:num w:numId="14">
    <w:abstractNumId w:val="17"/>
  </w:num>
  <w:num w:numId="15">
    <w:abstractNumId w:val="18"/>
  </w:num>
  <w:num w:numId="16">
    <w:abstractNumId w:val="16"/>
  </w:num>
  <w:num w:numId="17">
    <w:abstractNumId w:val="20"/>
  </w:num>
  <w:num w:numId="18">
    <w:abstractNumId w:val="7"/>
  </w:num>
  <w:num w:numId="19">
    <w:abstractNumId w:val="15"/>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2195B"/>
    <w:rsid w:val="00002ED7"/>
    <w:rsid w:val="00024D8F"/>
    <w:rsid w:val="000465F1"/>
    <w:rsid w:val="00050264"/>
    <w:rsid w:val="00067136"/>
    <w:rsid w:val="00070682"/>
    <w:rsid w:val="00081375"/>
    <w:rsid w:val="00081753"/>
    <w:rsid w:val="00081B87"/>
    <w:rsid w:val="000836FF"/>
    <w:rsid w:val="000873C5"/>
    <w:rsid w:val="0009113E"/>
    <w:rsid w:val="000965FC"/>
    <w:rsid w:val="000A4786"/>
    <w:rsid w:val="000B5172"/>
    <w:rsid w:val="000E078D"/>
    <w:rsid w:val="000E1D14"/>
    <w:rsid w:val="000E6103"/>
    <w:rsid w:val="000F28D2"/>
    <w:rsid w:val="000F329A"/>
    <w:rsid w:val="000F4A0D"/>
    <w:rsid w:val="001053EA"/>
    <w:rsid w:val="00116837"/>
    <w:rsid w:val="0012263C"/>
    <w:rsid w:val="00130B23"/>
    <w:rsid w:val="00132A5C"/>
    <w:rsid w:val="00145A2C"/>
    <w:rsid w:val="001479AE"/>
    <w:rsid w:val="00147A44"/>
    <w:rsid w:val="00165845"/>
    <w:rsid w:val="0017631E"/>
    <w:rsid w:val="00185980"/>
    <w:rsid w:val="00194025"/>
    <w:rsid w:val="001A2AD3"/>
    <w:rsid w:val="001B0AB6"/>
    <w:rsid w:val="001B585B"/>
    <w:rsid w:val="001C3B1D"/>
    <w:rsid w:val="001C5751"/>
    <w:rsid w:val="001D0929"/>
    <w:rsid w:val="001D243F"/>
    <w:rsid w:val="001E233E"/>
    <w:rsid w:val="001E6163"/>
    <w:rsid w:val="001F50A0"/>
    <w:rsid w:val="0020263D"/>
    <w:rsid w:val="00203613"/>
    <w:rsid w:val="0023283F"/>
    <w:rsid w:val="00244648"/>
    <w:rsid w:val="002478A2"/>
    <w:rsid w:val="00253193"/>
    <w:rsid w:val="00263E32"/>
    <w:rsid w:val="0026506F"/>
    <w:rsid w:val="002734E3"/>
    <w:rsid w:val="0027734C"/>
    <w:rsid w:val="0027794E"/>
    <w:rsid w:val="002829A9"/>
    <w:rsid w:val="00285251"/>
    <w:rsid w:val="002862DA"/>
    <w:rsid w:val="002A25B2"/>
    <w:rsid w:val="002B0553"/>
    <w:rsid w:val="002B130A"/>
    <w:rsid w:val="002B51D5"/>
    <w:rsid w:val="002C0574"/>
    <w:rsid w:val="002C2B24"/>
    <w:rsid w:val="002C6560"/>
    <w:rsid w:val="002D5DA7"/>
    <w:rsid w:val="002F2FC2"/>
    <w:rsid w:val="002F4044"/>
    <w:rsid w:val="0031644E"/>
    <w:rsid w:val="00326591"/>
    <w:rsid w:val="00337833"/>
    <w:rsid w:val="003812DD"/>
    <w:rsid w:val="00392D4D"/>
    <w:rsid w:val="003D685B"/>
    <w:rsid w:val="003E5DB8"/>
    <w:rsid w:val="004061E3"/>
    <w:rsid w:val="004062EF"/>
    <w:rsid w:val="004068B9"/>
    <w:rsid w:val="00431ECA"/>
    <w:rsid w:val="00435C4C"/>
    <w:rsid w:val="00447818"/>
    <w:rsid w:val="0046659A"/>
    <w:rsid w:val="004669D8"/>
    <w:rsid w:val="00492282"/>
    <w:rsid w:val="00496182"/>
    <w:rsid w:val="0049632B"/>
    <w:rsid w:val="004A41C1"/>
    <w:rsid w:val="004A453B"/>
    <w:rsid w:val="004A7F38"/>
    <w:rsid w:val="004B276E"/>
    <w:rsid w:val="004B5C24"/>
    <w:rsid w:val="004C6DEA"/>
    <w:rsid w:val="004D13A0"/>
    <w:rsid w:val="004E040C"/>
    <w:rsid w:val="004E128F"/>
    <w:rsid w:val="004F67D0"/>
    <w:rsid w:val="00500FA7"/>
    <w:rsid w:val="00504039"/>
    <w:rsid w:val="00533C31"/>
    <w:rsid w:val="00535256"/>
    <w:rsid w:val="00543017"/>
    <w:rsid w:val="005565E4"/>
    <w:rsid w:val="005666D9"/>
    <w:rsid w:val="005706C3"/>
    <w:rsid w:val="00577D94"/>
    <w:rsid w:val="00584979"/>
    <w:rsid w:val="005C10AA"/>
    <w:rsid w:val="005C5C78"/>
    <w:rsid w:val="005C5DD1"/>
    <w:rsid w:val="005C60B6"/>
    <w:rsid w:val="005D0648"/>
    <w:rsid w:val="005D17D3"/>
    <w:rsid w:val="005D25C4"/>
    <w:rsid w:val="005D2EE2"/>
    <w:rsid w:val="005D3415"/>
    <w:rsid w:val="005E712B"/>
    <w:rsid w:val="00612A16"/>
    <w:rsid w:val="00620537"/>
    <w:rsid w:val="00623C3E"/>
    <w:rsid w:val="006307AB"/>
    <w:rsid w:val="00646F74"/>
    <w:rsid w:val="00671769"/>
    <w:rsid w:val="006857E2"/>
    <w:rsid w:val="006861A3"/>
    <w:rsid w:val="00695998"/>
    <w:rsid w:val="006B00A4"/>
    <w:rsid w:val="006B1A5C"/>
    <w:rsid w:val="006B27BB"/>
    <w:rsid w:val="006B70CA"/>
    <w:rsid w:val="006C5703"/>
    <w:rsid w:val="006C696A"/>
    <w:rsid w:val="006D5458"/>
    <w:rsid w:val="006D6C9B"/>
    <w:rsid w:val="006E6676"/>
    <w:rsid w:val="00734B28"/>
    <w:rsid w:val="00751EFF"/>
    <w:rsid w:val="00752E37"/>
    <w:rsid w:val="00774D81"/>
    <w:rsid w:val="007A2C2B"/>
    <w:rsid w:val="007D5E8A"/>
    <w:rsid w:val="007D7DF0"/>
    <w:rsid w:val="007E6DC9"/>
    <w:rsid w:val="007F3FB1"/>
    <w:rsid w:val="00814C08"/>
    <w:rsid w:val="0081589F"/>
    <w:rsid w:val="00817CD8"/>
    <w:rsid w:val="00833B78"/>
    <w:rsid w:val="00833E20"/>
    <w:rsid w:val="00834F67"/>
    <w:rsid w:val="00841BCB"/>
    <w:rsid w:val="0085214F"/>
    <w:rsid w:val="00853FC9"/>
    <w:rsid w:val="00854C33"/>
    <w:rsid w:val="008550C1"/>
    <w:rsid w:val="00870618"/>
    <w:rsid w:val="0088350B"/>
    <w:rsid w:val="008B1DE3"/>
    <w:rsid w:val="008B4935"/>
    <w:rsid w:val="008D0FAD"/>
    <w:rsid w:val="008E3466"/>
    <w:rsid w:val="008E61BF"/>
    <w:rsid w:val="008F202E"/>
    <w:rsid w:val="009045D6"/>
    <w:rsid w:val="009102F8"/>
    <w:rsid w:val="00924118"/>
    <w:rsid w:val="009636BE"/>
    <w:rsid w:val="00964C5A"/>
    <w:rsid w:val="00967DBD"/>
    <w:rsid w:val="00976AD6"/>
    <w:rsid w:val="00976DC0"/>
    <w:rsid w:val="0098788A"/>
    <w:rsid w:val="009C04C7"/>
    <w:rsid w:val="009C1981"/>
    <w:rsid w:val="009D4F2A"/>
    <w:rsid w:val="009E628D"/>
    <w:rsid w:val="009E7544"/>
    <w:rsid w:val="00A0137E"/>
    <w:rsid w:val="00A0211B"/>
    <w:rsid w:val="00A05E75"/>
    <w:rsid w:val="00A06ADF"/>
    <w:rsid w:val="00A21EC8"/>
    <w:rsid w:val="00A35A53"/>
    <w:rsid w:val="00A43FCB"/>
    <w:rsid w:val="00A468AF"/>
    <w:rsid w:val="00A47257"/>
    <w:rsid w:val="00A5403D"/>
    <w:rsid w:val="00A54CCC"/>
    <w:rsid w:val="00A63C70"/>
    <w:rsid w:val="00A64251"/>
    <w:rsid w:val="00A67121"/>
    <w:rsid w:val="00A73795"/>
    <w:rsid w:val="00A831DD"/>
    <w:rsid w:val="00AA0CE7"/>
    <w:rsid w:val="00AB6C6A"/>
    <w:rsid w:val="00AF3343"/>
    <w:rsid w:val="00B00329"/>
    <w:rsid w:val="00B12351"/>
    <w:rsid w:val="00B203B1"/>
    <w:rsid w:val="00B21A94"/>
    <w:rsid w:val="00B24A0A"/>
    <w:rsid w:val="00B301BB"/>
    <w:rsid w:val="00B3463F"/>
    <w:rsid w:val="00B34DED"/>
    <w:rsid w:val="00B50CB6"/>
    <w:rsid w:val="00B548FA"/>
    <w:rsid w:val="00B62BC4"/>
    <w:rsid w:val="00B67989"/>
    <w:rsid w:val="00B723C5"/>
    <w:rsid w:val="00B8009B"/>
    <w:rsid w:val="00BB0326"/>
    <w:rsid w:val="00BC5946"/>
    <w:rsid w:val="00BD3BD5"/>
    <w:rsid w:val="00BD4223"/>
    <w:rsid w:val="00BD6D40"/>
    <w:rsid w:val="00BD7C92"/>
    <w:rsid w:val="00BD7ED9"/>
    <w:rsid w:val="00BE5D02"/>
    <w:rsid w:val="00BE6BC3"/>
    <w:rsid w:val="00BF1F39"/>
    <w:rsid w:val="00C02851"/>
    <w:rsid w:val="00C07140"/>
    <w:rsid w:val="00C11F09"/>
    <w:rsid w:val="00C122F0"/>
    <w:rsid w:val="00C2195B"/>
    <w:rsid w:val="00C24491"/>
    <w:rsid w:val="00C265A7"/>
    <w:rsid w:val="00C560C6"/>
    <w:rsid w:val="00C80159"/>
    <w:rsid w:val="00C86877"/>
    <w:rsid w:val="00C8687B"/>
    <w:rsid w:val="00C910EB"/>
    <w:rsid w:val="00C941FE"/>
    <w:rsid w:val="00CA5113"/>
    <w:rsid w:val="00CA7AC4"/>
    <w:rsid w:val="00CB3607"/>
    <w:rsid w:val="00CB74FE"/>
    <w:rsid w:val="00CD5404"/>
    <w:rsid w:val="00CD5631"/>
    <w:rsid w:val="00CE1D12"/>
    <w:rsid w:val="00CF39DE"/>
    <w:rsid w:val="00CF7DAE"/>
    <w:rsid w:val="00D04887"/>
    <w:rsid w:val="00D128DA"/>
    <w:rsid w:val="00D173EB"/>
    <w:rsid w:val="00D20F9E"/>
    <w:rsid w:val="00D33934"/>
    <w:rsid w:val="00D376C0"/>
    <w:rsid w:val="00D433B3"/>
    <w:rsid w:val="00D46360"/>
    <w:rsid w:val="00D57026"/>
    <w:rsid w:val="00D634D9"/>
    <w:rsid w:val="00D727E0"/>
    <w:rsid w:val="00D81E64"/>
    <w:rsid w:val="00D86542"/>
    <w:rsid w:val="00DC7D86"/>
    <w:rsid w:val="00DD3339"/>
    <w:rsid w:val="00E061D9"/>
    <w:rsid w:val="00E10092"/>
    <w:rsid w:val="00E22B85"/>
    <w:rsid w:val="00E23CD3"/>
    <w:rsid w:val="00E2697F"/>
    <w:rsid w:val="00E53589"/>
    <w:rsid w:val="00E6257F"/>
    <w:rsid w:val="00E77E17"/>
    <w:rsid w:val="00E93ACA"/>
    <w:rsid w:val="00EA1555"/>
    <w:rsid w:val="00EA1B47"/>
    <w:rsid w:val="00EA58F8"/>
    <w:rsid w:val="00EB72C0"/>
    <w:rsid w:val="00EF0393"/>
    <w:rsid w:val="00EF3973"/>
    <w:rsid w:val="00EF7735"/>
    <w:rsid w:val="00F04C53"/>
    <w:rsid w:val="00F1653D"/>
    <w:rsid w:val="00F2054F"/>
    <w:rsid w:val="00F21996"/>
    <w:rsid w:val="00F2208F"/>
    <w:rsid w:val="00F242C3"/>
    <w:rsid w:val="00F35A97"/>
    <w:rsid w:val="00F45BB4"/>
    <w:rsid w:val="00F52953"/>
    <w:rsid w:val="00F56E22"/>
    <w:rsid w:val="00F60536"/>
    <w:rsid w:val="00F66BCD"/>
    <w:rsid w:val="00F7580C"/>
    <w:rsid w:val="00F871CA"/>
    <w:rsid w:val="00FA6371"/>
    <w:rsid w:val="00FB66B8"/>
    <w:rsid w:val="00FC16DE"/>
    <w:rsid w:val="00FC2C49"/>
    <w:rsid w:val="00FD1BC0"/>
    <w:rsid w:val="00FD697B"/>
    <w:rsid w:val="00FF2F27"/>
    <w:rsid w:val="00FF42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95"/>
  </w:style>
  <w:style w:type="paragraph" w:styleId="Heading1">
    <w:name w:val="heading 1"/>
    <w:basedOn w:val="Normal"/>
    <w:link w:val="Heading1Char"/>
    <w:uiPriority w:val="9"/>
    <w:qFormat/>
    <w:rsid w:val="001A2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1A2A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23C5"/>
    <w:rPr>
      <w:color w:val="0000FF" w:themeColor="hyperlink"/>
      <w:u w:val="single"/>
    </w:rPr>
  </w:style>
  <w:style w:type="paragraph" w:styleId="ListParagraph">
    <w:name w:val="List Paragraph"/>
    <w:basedOn w:val="Normal"/>
    <w:uiPriority w:val="34"/>
    <w:qFormat/>
    <w:rsid w:val="00B34DED"/>
    <w:pPr>
      <w:ind w:left="720"/>
      <w:contextualSpacing/>
    </w:pPr>
  </w:style>
  <w:style w:type="character" w:customStyle="1" w:styleId="heading">
    <w:name w:val="heading"/>
    <w:basedOn w:val="DefaultParagraphFont"/>
    <w:rsid w:val="00002ED7"/>
  </w:style>
  <w:style w:type="character" w:styleId="Emphasis">
    <w:name w:val="Emphasis"/>
    <w:basedOn w:val="DefaultParagraphFont"/>
    <w:uiPriority w:val="20"/>
    <w:qFormat/>
    <w:rsid w:val="00002ED7"/>
    <w:rPr>
      <w:i/>
      <w:iCs/>
    </w:rPr>
  </w:style>
  <w:style w:type="character" w:customStyle="1" w:styleId="apple-converted-space">
    <w:name w:val="apple-converted-space"/>
    <w:basedOn w:val="DefaultParagraphFont"/>
    <w:rsid w:val="00002ED7"/>
  </w:style>
  <w:style w:type="character" w:styleId="Strong">
    <w:name w:val="Strong"/>
    <w:basedOn w:val="DefaultParagraphFont"/>
    <w:uiPriority w:val="22"/>
    <w:qFormat/>
    <w:rsid w:val="00002ED7"/>
    <w:rPr>
      <w:b/>
      <w:bCs/>
    </w:rPr>
  </w:style>
  <w:style w:type="character" w:customStyle="1" w:styleId="subheading">
    <w:name w:val="subheading"/>
    <w:basedOn w:val="DefaultParagraphFont"/>
    <w:rsid w:val="00002ED7"/>
  </w:style>
  <w:style w:type="paragraph" w:styleId="BalloonText">
    <w:name w:val="Balloon Text"/>
    <w:basedOn w:val="Normal"/>
    <w:link w:val="BalloonTextChar"/>
    <w:uiPriority w:val="99"/>
    <w:semiHidden/>
    <w:unhideWhenUsed/>
    <w:rsid w:val="0000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D7"/>
    <w:rPr>
      <w:rFonts w:ascii="Tahoma" w:hAnsi="Tahoma" w:cs="Tahoma"/>
      <w:sz w:val="16"/>
      <w:szCs w:val="16"/>
    </w:rPr>
  </w:style>
  <w:style w:type="paragraph" w:styleId="NormalWeb">
    <w:name w:val="Normal (Web)"/>
    <w:basedOn w:val="Normal"/>
    <w:uiPriority w:val="99"/>
    <w:semiHidden/>
    <w:unhideWhenUsed/>
    <w:rsid w:val="001226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1A2AD3"/>
    <w:rPr>
      <w:rFonts w:ascii="Times New Roman" w:eastAsia="Times New Roman" w:hAnsi="Times New Roman" w:cs="Times New Roman"/>
      <w:b/>
      <w:bCs/>
      <w:kern w:val="36"/>
      <w:sz w:val="48"/>
      <w:szCs w:val="48"/>
      <w:lang w:eastAsia="en-AU"/>
    </w:rPr>
  </w:style>
  <w:style w:type="character" w:customStyle="1" w:styleId="page-title">
    <w:name w:val="page-title"/>
    <w:basedOn w:val="DefaultParagraphFont"/>
    <w:rsid w:val="001A2AD3"/>
  </w:style>
  <w:style w:type="character" w:customStyle="1" w:styleId="Heading3Char">
    <w:name w:val="Heading 3 Char"/>
    <w:basedOn w:val="DefaultParagraphFont"/>
    <w:link w:val="Heading3"/>
    <w:uiPriority w:val="9"/>
    <w:semiHidden/>
    <w:rsid w:val="001A2AD3"/>
    <w:rPr>
      <w:rFonts w:asciiTheme="majorHAnsi" w:eastAsiaTheme="majorEastAsia" w:hAnsiTheme="majorHAnsi" w:cstheme="majorBidi"/>
      <w:b/>
      <w:bCs/>
      <w:color w:val="4F81BD" w:themeColor="accent1"/>
    </w:rPr>
  </w:style>
  <w:style w:type="paragraph" w:customStyle="1" w:styleId="bulletpoint">
    <w:name w:val="bulletpoint"/>
    <w:basedOn w:val="Normal"/>
    <w:rsid w:val="00B679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964C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5A"/>
  </w:style>
  <w:style w:type="paragraph" w:styleId="Footer">
    <w:name w:val="footer"/>
    <w:basedOn w:val="Normal"/>
    <w:link w:val="FooterChar"/>
    <w:uiPriority w:val="99"/>
    <w:unhideWhenUsed/>
    <w:rsid w:val="00964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5A"/>
  </w:style>
</w:styles>
</file>

<file path=word/webSettings.xml><?xml version="1.0" encoding="utf-8"?>
<w:webSettings xmlns:r="http://schemas.openxmlformats.org/officeDocument/2006/relationships" xmlns:w="http://schemas.openxmlformats.org/wordprocessingml/2006/main">
  <w:divs>
    <w:div w:id="295066353">
      <w:bodyDiv w:val="1"/>
      <w:marLeft w:val="0"/>
      <w:marRight w:val="0"/>
      <w:marTop w:val="0"/>
      <w:marBottom w:val="0"/>
      <w:divBdr>
        <w:top w:val="none" w:sz="0" w:space="0" w:color="auto"/>
        <w:left w:val="none" w:sz="0" w:space="0" w:color="auto"/>
        <w:bottom w:val="none" w:sz="0" w:space="0" w:color="auto"/>
        <w:right w:val="none" w:sz="0" w:space="0" w:color="auto"/>
      </w:divBdr>
      <w:divsChild>
        <w:div w:id="1175265359">
          <w:marLeft w:val="0"/>
          <w:marRight w:val="0"/>
          <w:marTop w:val="0"/>
          <w:marBottom w:val="0"/>
          <w:divBdr>
            <w:top w:val="none" w:sz="0" w:space="0" w:color="auto"/>
            <w:left w:val="none" w:sz="0" w:space="0" w:color="auto"/>
            <w:bottom w:val="none" w:sz="0" w:space="0" w:color="auto"/>
            <w:right w:val="none" w:sz="0" w:space="0" w:color="auto"/>
          </w:divBdr>
        </w:div>
      </w:divsChild>
    </w:div>
    <w:div w:id="862745020">
      <w:bodyDiv w:val="1"/>
      <w:marLeft w:val="0"/>
      <w:marRight w:val="0"/>
      <w:marTop w:val="0"/>
      <w:marBottom w:val="0"/>
      <w:divBdr>
        <w:top w:val="none" w:sz="0" w:space="0" w:color="auto"/>
        <w:left w:val="none" w:sz="0" w:space="0" w:color="auto"/>
        <w:bottom w:val="none" w:sz="0" w:space="0" w:color="auto"/>
        <w:right w:val="none" w:sz="0" w:space="0" w:color="auto"/>
      </w:divBdr>
    </w:div>
    <w:div w:id="868757280">
      <w:bodyDiv w:val="1"/>
      <w:marLeft w:val="0"/>
      <w:marRight w:val="0"/>
      <w:marTop w:val="0"/>
      <w:marBottom w:val="0"/>
      <w:divBdr>
        <w:top w:val="none" w:sz="0" w:space="0" w:color="auto"/>
        <w:left w:val="none" w:sz="0" w:space="0" w:color="auto"/>
        <w:bottom w:val="none" w:sz="0" w:space="0" w:color="auto"/>
        <w:right w:val="none" w:sz="0" w:space="0" w:color="auto"/>
      </w:divBdr>
      <w:divsChild>
        <w:div w:id="2027514572">
          <w:marLeft w:val="0"/>
          <w:marRight w:val="0"/>
          <w:marTop w:val="0"/>
          <w:marBottom w:val="0"/>
          <w:divBdr>
            <w:top w:val="none" w:sz="0" w:space="0" w:color="auto"/>
            <w:left w:val="none" w:sz="0" w:space="0" w:color="auto"/>
            <w:bottom w:val="none" w:sz="0" w:space="0" w:color="auto"/>
            <w:right w:val="none" w:sz="0" w:space="0" w:color="auto"/>
          </w:divBdr>
          <w:divsChild>
            <w:div w:id="4328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491">
      <w:bodyDiv w:val="1"/>
      <w:marLeft w:val="0"/>
      <w:marRight w:val="0"/>
      <w:marTop w:val="0"/>
      <w:marBottom w:val="0"/>
      <w:divBdr>
        <w:top w:val="none" w:sz="0" w:space="0" w:color="auto"/>
        <w:left w:val="none" w:sz="0" w:space="0" w:color="auto"/>
        <w:bottom w:val="none" w:sz="0" w:space="0" w:color="auto"/>
        <w:right w:val="none" w:sz="0" w:space="0" w:color="auto"/>
      </w:divBdr>
    </w:div>
    <w:div w:id="1243834589">
      <w:bodyDiv w:val="1"/>
      <w:marLeft w:val="0"/>
      <w:marRight w:val="0"/>
      <w:marTop w:val="0"/>
      <w:marBottom w:val="0"/>
      <w:divBdr>
        <w:top w:val="none" w:sz="0" w:space="0" w:color="auto"/>
        <w:left w:val="none" w:sz="0" w:space="0" w:color="auto"/>
        <w:bottom w:val="none" w:sz="0" w:space="0" w:color="auto"/>
        <w:right w:val="none" w:sz="0" w:space="0" w:color="auto"/>
      </w:divBdr>
    </w:div>
    <w:div w:id="1605459614">
      <w:bodyDiv w:val="1"/>
      <w:marLeft w:val="0"/>
      <w:marRight w:val="0"/>
      <w:marTop w:val="0"/>
      <w:marBottom w:val="0"/>
      <w:divBdr>
        <w:top w:val="none" w:sz="0" w:space="0" w:color="auto"/>
        <w:left w:val="none" w:sz="0" w:space="0" w:color="auto"/>
        <w:bottom w:val="none" w:sz="0" w:space="0" w:color="auto"/>
        <w:right w:val="none" w:sz="0" w:space="0" w:color="auto"/>
      </w:divBdr>
      <w:divsChild>
        <w:div w:id="1249457600">
          <w:marLeft w:val="0"/>
          <w:marRight w:val="0"/>
          <w:marTop w:val="0"/>
          <w:marBottom w:val="225"/>
          <w:divBdr>
            <w:top w:val="single" w:sz="6" w:space="8" w:color="ADADAD"/>
            <w:left w:val="single" w:sz="6" w:space="8" w:color="ADADAD"/>
            <w:bottom w:val="single" w:sz="6" w:space="8" w:color="ADADAD"/>
            <w:right w:val="single" w:sz="6" w:space="8" w:color="ADADAD"/>
          </w:divBdr>
        </w:div>
      </w:divsChild>
    </w:div>
    <w:div w:id="1989285945">
      <w:bodyDiv w:val="1"/>
      <w:marLeft w:val="0"/>
      <w:marRight w:val="0"/>
      <w:marTop w:val="0"/>
      <w:marBottom w:val="0"/>
      <w:divBdr>
        <w:top w:val="none" w:sz="0" w:space="0" w:color="auto"/>
        <w:left w:val="none" w:sz="0" w:space="0" w:color="auto"/>
        <w:bottom w:val="none" w:sz="0" w:space="0" w:color="auto"/>
        <w:right w:val="none" w:sz="0" w:space="0" w:color="auto"/>
      </w:divBdr>
    </w:div>
    <w:div w:id="2117290487">
      <w:bodyDiv w:val="1"/>
      <w:marLeft w:val="0"/>
      <w:marRight w:val="0"/>
      <w:marTop w:val="0"/>
      <w:marBottom w:val="0"/>
      <w:divBdr>
        <w:top w:val="none" w:sz="0" w:space="0" w:color="auto"/>
        <w:left w:val="none" w:sz="0" w:space="0" w:color="auto"/>
        <w:bottom w:val="none" w:sz="0" w:space="0" w:color="auto"/>
        <w:right w:val="none" w:sz="0" w:space="0" w:color="auto"/>
      </w:divBdr>
      <w:divsChild>
        <w:div w:id="718824792">
          <w:marLeft w:val="0"/>
          <w:marRight w:val="0"/>
          <w:marTop w:val="0"/>
          <w:marBottom w:val="0"/>
          <w:divBdr>
            <w:top w:val="none" w:sz="0" w:space="0" w:color="auto"/>
            <w:left w:val="none" w:sz="0" w:space="0" w:color="auto"/>
            <w:bottom w:val="none" w:sz="0" w:space="0" w:color="auto"/>
            <w:right w:val="none" w:sz="0" w:space="0" w:color="auto"/>
          </w:divBdr>
        </w:div>
      </w:divsChild>
    </w:div>
    <w:div w:id="2120950067">
      <w:bodyDiv w:val="1"/>
      <w:marLeft w:val="0"/>
      <w:marRight w:val="0"/>
      <w:marTop w:val="0"/>
      <w:marBottom w:val="0"/>
      <w:divBdr>
        <w:top w:val="none" w:sz="0" w:space="0" w:color="auto"/>
        <w:left w:val="none" w:sz="0" w:space="0" w:color="auto"/>
        <w:bottom w:val="none" w:sz="0" w:space="0" w:color="auto"/>
        <w:right w:val="none" w:sz="0" w:space="0" w:color="auto"/>
      </w:divBdr>
      <w:divsChild>
        <w:div w:id="1839539246">
          <w:marLeft w:val="0"/>
          <w:marRight w:val="0"/>
          <w:marTop w:val="0"/>
          <w:marBottom w:val="0"/>
          <w:divBdr>
            <w:top w:val="single" w:sz="12" w:space="12" w:color="D6CDB5"/>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ssuescentre.org.au" TargetMode="External"/><Relationship Id="rId13" Type="http://schemas.openxmlformats.org/officeDocument/2006/relationships/hyperlink" Target="http://www.manningham.vic.gov.au" TargetMode="External"/><Relationship Id="rId18" Type="http://schemas.openxmlformats.org/officeDocument/2006/relationships/hyperlink" Target="http://www.unfpa.org/rights/princip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awkesbury.nsw.gov.au/" TargetMode="External"/><Relationship Id="rId17" Type="http://schemas.openxmlformats.org/officeDocument/2006/relationships/hyperlink" Target="http://tga.gov.au" TargetMode="External"/><Relationship Id="rId2" Type="http://schemas.openxmlformats.org/officeDocument/2006/relationships/numbering" Target="numbering.xml"/><Relationship Id="rId16" Type="http://schemas.openxmlformats.org/officeDocument/2006/relationships/hyperlink" Target="http://www.healthissuescentre.org.au" TargetMode="External"/><Relationship Id="rId20" Type="http://schemas.openxmlformats.org/officeDocument/2006/relationships/hyperlink" Target="http://www.westernhealth.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dhs.com.au" TargetMode="External"/><Relationship Id="rId5" Type="http://schemas.openxmlformats.org/officeDocument/2006/relationships/webSettings" Target="webSettings.xml"/><Relationship Id="rId15" Type="http://schemas.openxmlformats.org/officeDocument/2006/relationships/hyperlink" Target="http://www.iavi.org/Information-Center" TargetMode="External"/><Relationship Id="rId23" Type="http://schemas.openxmlformats.org/officeDocument/2006/relationships/theme" Target="theme/theme1.xml"/><Relationship Id="rId10" Type="http://schemas.openxmlformats.org/officeDocument/2006/relationships/hyperlink" Target="http://www.caus.com.au" TargetMode="External"/><Relationship Id="rId19" Type="http://schemas.openxmlformats.org/officeDocument/2006/relationships/hyperlink" Target="http://www.pcvlibrary.asn.au" TargetMode="External"/><Relationship Id="rId4" Type="http://schemas.openxmlformats.org/officeDocument/2006/relationships/settings" Target="settings.xml"/><Relationship Id="rId9" Type="http://schemas.openxmlformats.org/officeDocument/2006/relationships/hyperlink" Target="http://www.ceh.org.au/" TargetMode="External"/><Relationship Id="rId14" Type="http://schemas.openxmlformats.org/officeDocument/2006/relationships/hyperlink" Target="http://www.2021.nsw.gov.au/about-nsw-20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F3359-B32E-4CD7-A765-0C177FCF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2</cp:revision>
  <dcterms:created xsi:type="dcterms:W3CDTF">2017-07-27T01:04:00Z</dcterms:created>
  <dcterms:modified xsi:type="dcterms:W3CDTF">2017-07-27T01:04:00Z</dcterms:modified>
</cp:coreProperties>
</file>